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b/>
          <w:color w:val="333333"/>
          <w:spacing w:val="15"/>
          <w:sz w:val="36"/>
          <w:szCs w:val="36"/>
        </w:rPr>
      </w:pPr>
      <w:r>
        <w:rPr>
          <w:rFonts w:hint="eastAsia" w:asciiTheme="minorEastAsia" w:hAnsiTheme="minorEastAsia"/>
          <w:b/>
          <w:color w:val="333333"/>
          <w:spacing w:val="15"/>
          <w:sz w:val="36"/>
          <w:szCs w:val="36"/>
          <w:u w:val="single"/>
        </w:rPr>
        <w:t>JDFY032扬州市江都妇幼保健院院内网络维保项目</w:t>
      </w:r>
      <w:r>
        <w:rPr>
          <w:rFonts w:hint="eastAsia" w:asciiTheme="minorEastAsia" w:hAnsiTheme="minorEastAsia"/>
          <w:b/>
          <w:color w:val="333333"/>
          <w:spacing w:val="15"/>
          <w:sz w:val="36"/>
          <w:szCs w:val="36"/>
        </w:rPr>
        <w:t>询价公告</w:t>
      </w:r>
    </w:p>
    <w:p>
      <w:pPr>
        <w:spacing w:line="480" w:lineRule="exact"/>
        <w:jc w:val="center"/>
        <w:rPr>
          <w:rFonts w:asciiTheme="minorEastAsia" w:hAnsiTheme="minorEastAsia"/>
          <w:b/>
          <w:color w:val="333333"/>
          <w:spacing w:val="15"/>
          <w:sz w:val="24"/>
          <w:szCs w:val="24"/>
        </w:rPr>
      </w:pPr>
      <w:r>
        <w:rPr>
          <w:rFonts w:hint="eastAsia" w:asciiTheme="minorEastAsia" w:hAnsiTheme="minorEastAsia"/>
          <w:b/>
          <w:color w:val="333333"/>
          <w:spacing w:val="15"/>
          <w:sz w:val="24"/>
          <w:szCs w:val="24"/>
        </w:rPr>
        <w:t>项目编号：JDFY032</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江苏明润资产房地产评估造价咨询有限公司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扬州市江都妇幼保健院委托需采购院内网络维保，现欢迎符合相关条件的供应商参加。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3、法定代表人资格证明或法定代表人有效授权委托书（格式详见附件2，原件及复印件加盖投标人公章）；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4、授权代表身份证（原件及复印件加盖投标人公章）；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5、投标人所提供投标产品技术参数满足采购人需求的证明文件（复印件加盖投标人公章）；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6、技术参数要求响应偏离表（加盖公章）；</w:t>
      </w:r>
    </w:p>
    <w:p>
      <w:pPr>
        <w:spacing w:line="440" w:lineRule="exact"/>
        <w:ind w:firstLine="480" w:firstLineChars="200"/>
        <w:rPr>
          <w:rFonts w:ascii="宋体" w:hAnsi="宋体"/>
          <w:sz w:val="24"/>
          <w:szCs w:val="24"/>
        </w:rPr>
      </w:pPr>
      <w:r>
        <w:rPr>
          <w:rFonts w:hint="eastAsia" w:ascii="宋体" w:hAnsi="宋体"/>
          <w:bCs/>
          <w:sz w:val="24"/>
          <w:szCs w:val="24"/>
        </w:rPr>
        <w:t>7、</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8、参加采购活动前3年内在经营活动中没有重大违法记录的书面声明</w:t>
      </w:r>
      <w:r>
        <w:rPr>
          <w:rFonts w:hint="eastAsia" w:ascii="宋体" w:hAnsi="宋体"/>
          <w:bCs/>
          <w:sz w:val="24"/>
          <w:szCs w:val="24"/>
        </w:rPr>
        <w:t>（</w:t>
      </w:r>
      <w:r>
        <w:rPr>
          <w:rFonts w:hint="eastAsia" w:ascii="宋体" w:hAnsi="宋体"/>
          <w:sz w:val="24"/>
          <w:szCs w:val="24"/>
        </w:rPr>
        <w:t>格式详见附件4，</w:t>
      </w:r>
      <w:r>
        <w:rPr>
          <w:rFonts w:hint="eastAsia" w:ascii="宋体" w:hAnsi="宋体"/>
          <w:bCs/>
          <w:sz w:val="24"/>
          <w:szCs w:val="24"/>
        </w:rPr>
        <w:t>加盖公章）；</w:t>
      </w:r>
    </w:p>
    <w:p>
      <w:pPr>
        <w:spacing w:line="480" w:lineRule="exact"/>
        <w:ind w:firstLine="480" w:firstLineChars="200"/>
        <w:rPr>
          <w:rFonts w:ascii="宋体" w:hAnsi="宋体"/>
          <w:bCs/>
          <w:sz w:val="24"/>
          <w:szCs w:val="24"/>
        </w:rPr>
      </w:pPr>
      <w:r>
        <w:rPr>
          <w:rFonts w:hint="eastAsia" w:ascii="宋体" w:hAnsi="宋体"/>
          <w:bCs/>
          <w:sz w:val="24"/>
          <w:szCs w:val="24"/>
        </w:rPr>
        <w:t>9、供应商廉洁自律承诺书（</w:t>
      </w:r>
      <w:r>
        <w:rPr>
          <w:rFonts w:hint="eastAsia" w:ascii="宋体" w:hAnsi="宋体"/>
          <w:sz w:val="24"/>
          <w:szCs w:val="24"/>
        </w:rPr>
        <w:t>格式详见附件5，</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（二）投标保证金：人民币肆佰元整。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（1）保证金缴纳方式：投标供应商将投标保证金以现金的形式在投标截止时间前于开标现场递交。未按上述要求提交保证金者，投标文件将被拒收。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如供应商确定参加投标，请如实填写参与投标确认函，并于2020年7月16日下午5:00前将投标确认函原件的扫描件发送至代理机构指定电子邮箱（联系电话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rPr>
        <w:t>4万元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仿宋_GB2312" w:hAnsi="宋体" w:eastAsia="宋体" w:cs="Arial"/>
          <w:sz w:val="24"/>
          <w:szCs w:val="24"/>
        </w:rPr>
      </w:pPr>
      <w:r>
        <w:rPr>
          <w:rFonts w:hint="eastAsia" w:ascii="仿宋_GB2312" w:hAnsi="宋体" w:cs="Arial"/>
          <w:sz w:val="24"/>
          <w:szCs w:val="24"/>
        </w:rPr>
        <w:t>（九）</w:t>
      </w:r>
      <w:r>
        <w:rPr>
          <w:rFonts w:hint="eastAsia" w:ascii="仿宋_GB2312" w:hAnsi="宋体" w:eastAsia="宋体" w:cs="Arial"/>
          <w:sz w:val="24"/>
          <w:szCs w:val="24"/>
        </w:rPr>
        <w:t>维保周期：一年</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（十）付款方式：</w:t>
      </w:r>
      <w:r>
        <w:rPr>
          <w:rFonts w:hint="eastAsia" w:ascii="仿宋_GB2312" w:hAnsi="宋体" w:eastAsia="宋体" w:cs="Arial"/>
          <w:sz w:val="24"/>
          <w:szCs w:val="24"/>
        </w:rPr>
        <w:t>项目实施完成后，一年内付清。</w:t>
      </w:r>
    </w:p>
    <w:p>
      <w:pPr>
        <w:widowControl/>
        <w:spacing w:line="480" w:lineRule="exact"/>
        <w:ind w:firstLine="480" w:firstLineChars="200"/>
        <w:jc w:val="left"/>
        <w:rPr>
          <w:rFonts w:ascii="仿宋_GB2312" w:hAnsi="宋体" w:cs="Arial"/>
          <w:sz w:val="24"/>
          <w:szCs w:val="24"/>
        </w:rPr>
      </w:pPr>
      <w:r>
        <w:rPr>
          <w:rFonts w:hint="eastAsia" w:ascii="仿宋_GB2312" w:hAnsi="宋体" w:cs="Arial"/>
          <w:sz w:val="24"/>
          <w:szCs w:val="24"/>
        </w:rPr>
        <w:t>（十一）开标相关信息：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2020年7月17日下午2:30(北京时间)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投标文件接受截止时间：2020年7月17日下午3:00(北京时间)</w:t>
      </w:r>
    </w:p>
    <w:p>
      <w:pPr>
        <w:widowControl/>
        <w:shd w:val="clear" w:color="auto" w:fill="FFFFFF"/>
        <w:spacing w:line="480" w:lineRule="exact"/>
        <w:ind w:left="479" w:leftChars="228"/>
        <w:rPr>
          <w:rFonts w:cs="Arial" w:asciiTheme="majorEastAsia" w:hAnsiTheme="majorEastAsia" w:eastAsiaTheme="majorEastAsia"/>
          <w:b/>
          <w:sz w:val="24"/>
          <w:szCs w:val="24"/>
        </w:rPr>
      </w:pPr>
      <w:r>
        <w:rPr>
          <w:rFonts w:hint="eastAsia" w:ascii="仿宋_GB2312" w:hAnsi="宋体" w:cs="Arial"/>
          <w:sz w:val="24"/>
          <w:szCs w:val="24"/>
        </w:rPr>
        <w:t>投标文件</w:t>
      </w:r>
      <w:r>
        <w:rPr>
          <w:rFonts w:hint="eastAsia" w:cs="Arial" w:asciiTheme="majorEastAsia" w:hAnsiTheme="majorEastAsia" w:eastAsiaTheme="majorEastAsia"/>
          <w:sz w:val="24"/>
          <w:szCs w:val="24"/>
        </w:rPr>
        <w:t>接收地点</w:t>
      </w:r>
      <w:bookmarkEnd w:id="0"/>
      <w:r>
        <w:rPr>
          <w:rFonts w:hint="eastAsia" w:cs="Arial" w:asciiTheme="majorEastAsia" w:hAnsiTheme="majorEastAsia" w:eastAsiaTheme="majorEastAsia"/>
          <w:sz w:val="24"/>
          <w:szCs w:val="24"/>
        </w:rPr>
        <w:t>：扬州市江都妇幼保健院13A小会议室（扬州市江都区长江东路145号）</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开标时间：2020年7月17日下午3:00(北京时间)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（十二）本公告期限：自询价公告在“扬州市江都妇幼保健院”网站发布之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w:t>
      </w:r>
      <w:r>
        <w:rPr>
          <w:rFonts w:hint="eastAsia" w:cs="Arial" w:asciiTheme="majorEastAsia" w:hAnsiTheme="majorEastAsia" w:eastAsiaTheme="majorEastAsia"/>
          <w:sz w:val="24"/>
          <w:szCs w:val="24"/>
          <w:lang w:eastAsia="zh-CN"/>
        </w:rPr>
        <w:t>巫先生</w:t>
      </w:r>
      <w:r>
        <w:rPr>
          <w:rFonts w:hint="eastAsia" w:cs="Arial" w:asciiTheme="majorEastAsia" w:hAnsiTheme="majorEastAsia" w:eastAsiaTheme="majorEastAsia"/>
          <w:sz w:val="24"/>
          <w:szCs w:val="24"/>
          <w:lang w:val="en-US" w:eastAsia="zh-CN"/>
        </w:rPr>
        <w:t xml:space="preserve">  13625208088</w:t>
      </w:r>
      <w:r>
        <w:rPr>
          <w:rFonts w:hint="eastAsia" w:cs="Arial" w:asciiTheme="majorEastAsia" w:hAnsiTheme="majorEastAsia" w:eastAsiaTheme="majorEastAsia"/>
          <w:sz w:val="24"/>
          <w:szCs w:val="24"/>
        </w:rPr>
        <w:t xml:space="preserve">                 采购代理机构联系人：周先生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bookmarkStart w:id="2" w:name="_GoBack"/>
      <w:bookmarkEnd w:id="2"/>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2020年7月14日</w:t>
      </w:r>
    </w:p>
    <w:p>
      <w:pPr>
        <w:widowControl/>
        <w:jc w:val="left"/>
        <w:rPr>
          <w:rFonts w:ascii="宋体" w:hAnsi="宋体"/>
          <w:sz w:val="24"/>
          <w:szCs w:val="24"/>
        </w:rPr>
      </w:pPr>
      <w:r>
        <w:rPr>
          <w:rFonts w:ascii="宋体" w:hAnsi="宋体"/>
          <w:sz w:val="24"/>
          <w:szCs w:val="24"/>
        </w:rPr>
        <w:br w:type="page"/>
      </w: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tbl>
      <w:tblPr>
        <w:tblStyle w:val="12"/>
        <w:tblW w:w="14187" w:type="dxa"/>
        <w:jc w:val="center"/>
        <w:tblLayout w:type="fixed"/>
        <w:tblCellMar>
          <w:top w:w="0" w:type="dxa"/>
          <w:left w:w="108" w:type="dxa"/>
          <w:bottom w:w="0" w:type="dxa"/>
          <w:right w:w="108" w:type="dxa"/>
        </w:tblCellMar>
      </w:tblPr>
      <w:tblGrid>
        <w:gridCol w:w="966"/>
        <w:gridCol w:w="3260"/>
        <w:gridCol w:w="2410"/>
        <w:gridCol w:w="1276"/>
        <w:gridCol w:w="1984"/>
        <w:gridCol w:w="3015"/>
        <w:gridCol w:w="1276"/>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品牌</w:t>
            </w:r>
            <w:r>
              <w:rPr>
                <w:rFonts w:ascii="宋体" w:hAnsi="宋体" w:cs="宋体"/>
                <w:kern w:val="0"/>
                <w:sz w:val="22"/>
              </w:rPr>
              <w:t>/</w:t>
            </w:r>
            <w:r>
              <w:rPr>
                <w:rFonts w:hint="eastAsia" w:ascii="宋体" w:hAnsi="宋体" w:cs="宋体"/>
                <w:kern w:val="0"/>
                <w:sz w:val="22"/>
              </w:rPr>
              <w:t>型号</w:t>
            </w:r>
            <w:r>
              <w:rPr>
                <w:rFonts w:ascii="宋体" w:hAnsi="宋体" w:cs="宋体"/>
                <w:kern w:val="0"/>
                <w:sz w:val="22"/>
              </w:rPr>
              <w:t>/</w:t>
            </w:r>
            <w:r>
              <w:rPr>
                <w:rFonts w:hint="eastAsia" w:ascii="宋体" w:hAnsi="宋体" w:cs="宋体"/>
                <w:kern w:val="0"/>
                <w:sz w:val="22"/>
              </w:rPr>
              <w:t>详细技术要求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数量</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单位</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cs="Times New Roman"/>
                <w:kern w:val="0"/>
                <w:sz w:val="22"/>
              </w:rPr>
              <w:t>院内网络维保项目</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r>
              <w:rPr>
                <w:rFonts w:ascii="宋体" w:hAnsi="宋体" w:cs="宋体"/>
                <w:kern w:val="0"/>
                <w:sz w:val="22"/>
              </w:rPr>
              <w:t>1</w:t>
            </w: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项</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969"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 w:val="22"/>
                <w:u w:val="single"/>
              </w:rPr>
            </w:pPr>
            <w:r>
              <w:rPr>
                <w:rFonts w:hint="eastAsia" w:ascii="宋体" w:hAnsi="宋体" w:cs="宋体"/>
                <w:sz w:val="22"/>
              </w:rPr>
              <w:t>合计报价：人民币（大写）：</w:t>
            </w:r>
            <w:r>
              <w:rPr>
                <w:rFonts w:hint="eastAsia" w:ascii="宋体" w:hAnsi="宋体" w:cs="宋体"/>
                <w:sz w:val="22"/>
                <w:u w:val="single"/>
              </w:rPr>
              <w:t xml:space="preserve">                 </w:t>
            </w:r>
            <w:r>
              <w:rPr>
                <w:rFonts w:hint="eastAsia" w:ascii="宋体" w:hAnsi="宋体" w:cs="宋体"/>
                <w:sz w:val="22"/>
              </w:rPr>
              <w:t>，￥（小写）：</w:t>
            </w:r>
            <w:r>
              <w:rPr>
                <w:rFonts w:hint="eastAsia" w:ascii="宋体" w:hAnsi="宋体" w:cs="宋体"/>
                <w:sz w:val="22"/>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eastAsia="宋体" w:cs="宋体"/>
                <w:sz w:val="22"/>
              </w:rPr>
              <w:t>维保周期：一年</w:t>
            </w:r>
          </w:p>
        </w:tc>
      </w:tr>
      <w:tr>
        <w:tblPrEx>
          <w:tblCellMar>
            <w:top w:w="0" w:type="dxa"/>
            <w:left w:w="108" w:type="dxa"/>
            <w:bottom w:w="0" w:type="dxa"/>
            <w:right w:w="108" w:type="dxa"/>
          </w:tblCellMar>
        </w:tblPrEx>
        <w:trPr>
          <w:trHeight w:val="2043"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 w:val="22"/>
              </w:rPr>
            </w:pPr>
            <w:r>
              <w:rPr>
                <w:rFonts w:hint="eastAsia" w:ascii="宋体" w:hAnsi="宋体" w:cs="宋体"/>
                <w:kern w:val="0"/>
                <w:sz w:val="22"/>
              </w:rPr>
              <w:t>备注：</w:t>
            </w:r>
          </w:p>
          <w:p>
            <w:pPr>
              <w:spacing w:line="380" w:lineRule="exact"/>
              <w:rPr>
                <w:rFonts w:ascii="宋体" w:hAnsi="宋体" w:cs="宋体"/>
                <w:kern w:val="0"/>
                <w:sz w:val="22"/>
              </w:rPr>
            </w:pPr>
            <w:r>
              <w:rPr>
                <w:rFonts w:ascii="宋体" w:hAnsi="宋体" w:cs="宋体"/>
                <w:kern w:val="0"/>
                <w:sz w:val="22"/>
              </w:rPr>
              <w:t>1</w:t>
            </w:r>
            <w:r>
              <w:rPr>
                <w:rFonts w:hint="eastAsia" w:ascii="宋体" w:hAnsi="宋体" w:cs="宋体"/>
                <w:kern w:val="0"/>
                <w:sz w:val="22"/>
              </w:rPr>
              <w:t>、符合招标公告要求的生产厂商或经销商，按公告要求提供证明材料原件。</w:t>
            </w:r>
          </w:p>
          <w:p>
            <w:pPr>
              <w:spacing w:line="380" w:lineRule="exact"/>
              <w:rPr>
                <w:rFonts w:ascii="宋体" w:hAnsi="宋体" w:cs="宋体"/>
                <w:kern w:val="0"/>
                <w:sz w:val="22"/>
              </w:rPr>
            </w:pPr>
            <w:r>
              <w:rPr>
                <w:rFonts w:ascii="宋体" w:hAnsi="宋体" w:cs="宋体"/>
                <w:kern w:val="0"/>
                <w:sz w:val="22"/>
              </w:rPr>
              <w:t>2</w:t>
            </w:r>
            <w:r>
              <w:rPr>
                <w:rFonts w:hint="eastAsia" w:ascii="宋体" w:hAnsi="宋体" w:cs="宋体"/>
                <w:kern w:val="0"/>
                <w:sz w:val="22"/>
              </w:rPr>
              <w:t>、投标报价应为完成本次采购与之相关所需的全部费用，包括但不限于：设备</w:t>
            </w:r>
            <w:r>
              <w:rPr>
                <w:rFonts w:ascii="宋体" w:hAnsi="宋体" w:cs="宋体"/>
                <w:kern w:val="0"/>
                <w:sz w:val="22"/>
              </w:rPr>
              <w:t>-</w:t>
            </w:r>
            <w:r>
              <w:rPr>
                <w:rFonts w:hint="eastAsia" w:ascii="宋体" w:hAnsi="宋体" w:cs="宋体"/>
                <w:kern w:val="0"/>
                <w:sz w:val="22"/>
              </w:rPr>
              <w:t>运输</w:t>
            </w:r>
            <w:r>
              <w:rPr>
                <w:rFonts w:ascii="宋体" w:hAnsi="宋体" w:cs="宋体"/>
                <w:kern w:val="0"/>
                <w:sz w:val="22"/>
              </w:rPr>
              <w:t>-</w:t>
            </w:r>
            <w:r>
              <w:rPr>
                <w:rFonts w:hint="eastAsia" w:ascii="宋体" w:hAnsi="宋体" w:cs="宋体"/>
                <w:kern w:val="0"/>
                <w:sz w:val="22"/>
              </w:rPr>
              <w:t>保险</w:t>
            </w:r>
            <w:r>
              <w:rPr>
                <w:rFonts w:ascii="宋体" w:hAnsi="宋体" w:cs="宋体"/>
                <w:kern w:val="0"/>
                <w:sz w:val="22"/>
              </w:rPr>
              <w:t>-</w:t>
            </w:r>
            <w:r>
              <w:rPr>
                <w:rFonts w:hint="eastAsia" w:ascii="宋体" w:hAnsi="宋体" w:cs="宋体"/>
                <w:kern w:val="0"/>
                <w:sz w:val="22"/>
              </w:rPr>
              <w:t>安装</w:t>
            </w:r>
            <w:r>
              <w:rPr>
                <w:rFonts w:ascii="宋体" w:hAnsi="宋体" w:cs="宋体"/>
                <w:kern w:val="0"/>
                <w:sz w:val="22"/>
              </w:rPr>
              <w:t>-</w:t>
            </w:r>
            <w:r>
              <w:rPr>
                <w:rFonts w:hint="eastAsia" w:ascii="宋体" w:hAnsi="宋体" w:cs="宋体"/>
                <w:kern w:val="0"/>
                <w:sz w:val="22"/>
              </w:rPr>
              <w:t>调试</w:t>
            </w:r>
            <w:r>
              <w:rPr>
                <w:rFonts w:ascii="宋体" w:hAnsi="宋体" w:cs="宋体"/>
                <w:kern w:val="0"/>
                <w:sz w:val="22"/>
              </w:rPr>
              <w:t>-</w:t>
            </w:r>
            <w:r>
              <w:rPr>
                <w:rFonts w:hint="eastAsia" w:ascii="宋体" w:hAnsi="宋体" w:cs="宋体"/>
                <w:kern w:val="0"/>
                <w:sz w:val="22"/>
              </w:rPr>
              <w:t>售后服务</w:t>
            </w:r>
            <w:r>
              <w:rPr>
                <w:rFonts w:ascii="宋体" w:hAnsi="宋体" w:cs="宋体"/>
                <w:kern w:val="0"/>
                <w:sz w:val="22"/>
              </w:rPr>
              <w:t>-</w:t>
            </w:r>
            <w:r>
              <w:rPr>
                <w:rFonts w:hint="eastAsia" w:ascii="宋体" w:hAnsi="宋体" w:cs="宋体"/>
                <w:kern w:val="0"/>
                <w:sz w:val="22"/>
              </w:rPr>
              <w:t>税金等费用。</w:t>
            </w:r>
          </w:p>
          <w:p>
            <w:pPr>
              <w:spacing w:line="380" w:lineRule="exact"/>
              <w:rPr>
                <w:rFonts w:ascii="宋体" w:hAnsi="宋体" w:cs="宋体"/>
                <w:kern w:val="0"/>
                <w:sz w:val="22"/>
              </w:rPr>
            </w:pPr>
            <w:r>
              <w:rPr>
                <w:rFonts w:ascii="宋体" w:hAnsi="宋体" w:cs="宋体"/>
                <w:kern w:val="0"/>
                <w:sz w:val="22"/>
              </w:rPr>
              <w:t>3</w:t>
            </w:r>
            <w:r>
              <w:rPr>
                <w:rFonts w:hint="eastAsia" w:ascii="宋体" w:hAnsi="宋体" w:cs="宋体"/>
                <w:kern w:val="0"/>
                <w:sz w:val="22"/>
              </w:rPr>
              <w:t>、投标人所供产品及配件须符合国家相应的有关标准、规范和要求。</w:t>
            </w:r>
          </w:p>
        </w:tc>
      </w:tr>
    </w:tbl>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r>
        <w:rPr>
          <w:rFonts w:hint="eastAsia" w:ascii="宋体" w:hAnsi="宋体" w:cs="宋体"/>
          <w:b/>
          <w:bCs/>
          <w:sz w:val="32"/>
          <w:szCs w:val="32"/>
        </w:rPr>
        <w:t>招标要求响应偏离表</w:t>
      </w:r>
    </w:p>
    <w:p>
      <w:pPr>
        <w:spacing w:line="480" w:lineRule="auto"/>
        <w:rPr>
          <w:rFonts w:ascii="宋体" w:cs="Times New Roman"/>
        </w:rPr>
      </w:pPr>
      <w:r>
        <w:rPr>
          <w:rFonts w:hint="eastAsia" w:ascii="宋体" w:hAnsi="宋体" w:cs="宋体"/>
        </w:rPr>
        <w:t>投标人名称（公章）：</w:t>
      </w:r>
    </w:p>
    <w:tbl>
      <w:tblPr>
        <w:tblStyle w:val="12"/>
        <w:tblW w:w="146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5"/>
        <w:gridCol w:w="4186"/>
        <w:gridCol w:w="4034"/>
        <w:gridCol w:w="3142"/>
        <w:gridCol w:w="18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4186"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4034" w:type="dxa"/>
            <w:vAlign w:val="center"/>
          </w:tcPr>
          <w:p>
            <w:pPr>
              <w:spacing w:line="480" w:lineRule="auto"/>
              <w:jc w:val="center"/>
              <w:rPr>
                <w:rFonts w:ascii="宋体" w:cs="Times New Roman"/>
              </w:rPr>
            </w:pPr>
            <w:r>
              <w:rPr>
                <w:rFonts w:hint="eastAsia" w:ascii="宋体" w:hAnsi="宋体" w:cs="宋体"/>
              </w:rPr>
              <w:t>投标响应</w:t>
            </w:r>
          </w:p>
        </w:tc>
        <w:tc>
          <w:tcPr>
            <w:tcW w:w="314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809"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cs="Times New Roman"/>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、投标人投标时须提供以上招标要求响应偏离表并加盖投标人公章。</w:t>
      </w:r>
    </w:p>
    <w:p>
      <w:pPr>
        <w:pStyle w:val="18"/>
        <w:spacing w:line="360" w:lineRule="auto"/>
        <w:ind w:firstLine="442"/>
        <w:rPr>
          <w:rFonts w:ascii="宋体" w:hAnsi="宋体" w:cs="宋体"/>
          <w:b/>
          <w:bCs/>
          <w:sz w:val="22"/>
          <w:szCs w:val="22"/>
          <w:lang w:val="zh-CN"/>
        </w:rPr>
      </w:pPr>
      <w:r>
        <w:rPr>
          <w:rFonts w:hint="eastAsia" w:ascii="宋体" w:hAnsi="宋体" w:cs="宋体"/>
          <w:b/>
          <w:bCs/>
          <w:sz w:val="22"/>
          <w:szCs w:val="22"/>
          <w:lang w:val="zh-CN"/>
        </w:rPr>
        <w:t>2、投标供应商应按照询价文件中招标要求逐项、详细、真实的填写，不允许缺项，不允许负偏离，否则将作无效投标处理。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type w:val="continuous"/>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spacing w:line="500" w:lineRule="exact"/>
        <w:ind w:firstLine="640" w:firstLineChars="200"/>
        <w:jc w:val="center"/>
        <w:rPr>
          <w:rFonts w:ascii="宋体" w:hAnsi="宋体" w:cs="Arial"/>
          <w:b/>
          <w:bCs/>
          <w:sz w:val="32"/>
          <w:szCs w:val="32"/>
        </w:rPr>
      </w:pPr>
      <w:r>
        <w:rPr>
          <w:rFonts w:hint="eastAsia" w:ascii="宋体" w:hAnsi="宋体" w:cs="Arial"/>
          <w:b/>
          <w:bCs/>
          <w:sz w:val="32"/>
          <w:szCs w:val="32"/>
        </w:rPr>
        <w:t>院内网络维保项目技术参数</w:t>
      </w:r>
    </w:p>
    <w:p>
      <w:pPr>
        <w:spacing w:line="500" w:lineRule="exact"/>
        <w:ind w:left="482"/>
        <w:rPr>
          <w:rFonts w:ascii="宋体" w:hAnsi="宋体" w:cs="Arial"/>
          <w:b/>
          <w:bCs/>
          <w:szCs w:val="21"/>
        </w:rPr>
      </w:pPr>
      <w:r>
        <w:rPr>
          <w:rFonts w:hint="eastAsia" w:ascii="宋体" w:hAnsi="宋体" w:cs="Arial"/>
          <w:b/>
          <w:bCs/>
          <w:szCs w:val="21"/>
        </w:rPr>
        <w:t>1、运维对象与范围：</w:t>
      </w:r>
    </w:p>
    <w:p>
      <w:pPr>
        <w:spacing w:line="500" w:lineRule="exact"/>
        <w:ind w:firstLine="420" w:firstLineChars="200"/>
        <w:rPr>
          <w:rFonts w:ascii="宋体" w:hAnsi="宋体"/>
          <w:bCs/>
          <w:szCs w:val="21"/>
        </w:rPr>
      </w:pPr>
      <w:r>
        <w:rPr>
          <w:rFonts w:hint="eastAsia" w:ascii="宋体" w:hAnsi="宋体"/>
          <w:bCs/>
          <w:szCs w:val="21"/>
        </w:rPr>
        <w:t>对扬州市江都妇幼保健院机房所有设备（详见维护服务清单）提供运维服务。对于和扬州市江都妇幼保健院有对接需求的其他业务（例如和其他单位的互联线路），也应积极配合工作。</w:t>
      </w:r>
    </w:p>
    <w:p>
      <w:pPr>
        <w:spacing w:line="500" w:lineRule="exact"/>
        <w:ind w:firstLine="420" w:firstLineChars="200"/>
        <w:rPr>
          <w:rFonts w:ascii="宋体" w:hAnsi="宋体"/>
          <w:b/>
          <w:bCs/>
          <w:szCs w:val="21"/>
        </w:rPr>
      </w:pPr>
      <w:r>
        <w:rPr>
          <w:rFonts w:hint="eastAsia" w:ascii="宋体" w:hAnsi="宋体"/>
          <w:b/>
          <w:bCs/>
          <w:szCs w:val="21"/>
        </w:rPr>
        <w:t>2、</w:t>
      </w:r>
      <w:r>
        <w:rPr>
          <w:rFonts w:ascii="宋体" w:hAnsi="宋体"/>
          <w:b/>
          <w:bCs/>
          <w:szCs w:val="21"/>
        </w:rPr>
        <w:t>工作内容</w:t>
      </w:r>
      <w:r>
        <w:rPr>
          <w:rFonts w:hint="eastAsia" w:ascii="宋体" w:hAnsi="宋体"/>
          <w:b/>
          <w:bCs/>
          <w:szCs w:val="21"/>
        </w:rPr>
        <w:t>：</w:t>
      </w:r>
    </w:p>
    <w:p>
      <w:pPr>
        <w:widowControl/>
        <w:spacing w:line="500" w:lineRule="exact"/>
        <w:ind w:firstLine="420" w:firstLineChars="200"/>
        <w:jc w:val="left"/>
        <w:rPr>
          <w:rFonts w:ascii="宋体" w:hAnsi="宋体"/>
          <w:bCs/>
          <w:szCs w:val="21"/>
        </w:rPr>
      </w:pPr>
      <w:r>
        <w:rPr>
          <w:rFonts w:hint="eastAsia" w:ascii="宋体" w:hAnsi="宋体"/>
          <w:bCs/>
          <w:szCs w:val="21"/>
        </w:rPr>
        <w:t>（1）做好院内计算机网络系统以及网络管理安全系统的管理、维护、保障应用系统的正常运行；</w:t>
      </w:r>
    </w:p>
    <w:p>
      <w:pPr>
        <w:widowControl/>
        <w:spacing w:line="500" w:lineRule="exact"/>
        <w:ind w:firstLine="420" w:firstLineChars="200"/>
        <w:jc w:val="left"/>
        <w:rPr>
          <w:rFonts w:ascii="宋体" w:hAnsi="宋体"/>
          <w:bCs/>
          <w:szCs w:val="21"/>
        </w:rPr>
      </w:pPr>
      <w:r>
        <w:rPr>
          <w:rFonts w:hint="eastAsia" w:ascii="宋体" w:hAnsi="宋体"/>
          <w:bCs/>
          <w:szCs w:val="21"/>
        </w:rPr>
        <w:t>（2）做好网络设备和网络系统软件的升级，修改，记录，备份；网络故障定位、处理；网络病毒的定位以及处理；疑难桌面网络故障的排除；定期对网络进行优化，和设备系统的升级补丁，减少设备系统存在的BUG和漏洞；</w:t>
      </w:r>
    </w:p>
    <w:p>
      <w:pPr>
        <w:spacing w:line="500" w:lineRule="exact"/>
        <w:ind w:firstLine="420" w:firstLineChars="200"/>
        <w:rPr>
          <w:rFonts w:ascii="宋体" w:hAnsi="宋体"/>
          <w:bCs/>
          <w:szCs w:val="21"/>
        </w:rPr>
      </w:pPr>
      <w:r>
        <w:rPr>
          <w:rFonts w:hint="eastAsia" w:ascii="宋体" w:hAnsi="宋体"/>
          <w:bCs/>
          <w:szCs w:val="21"/>
        </w:rPr>
        <w:t>（3）日常网络运行状态的实时监测登记和机房环境状态监控。每月一次对网络进行定期的巡检和巡检服务报告，包括网络运行情况、线路状况。做好网络资产管理登记服务。网络中遇到的问题提出合理改进方案和建议；</w:t>
      </w:r>
    </w:p>
    <w:p>
      <w:pPr>
        <w:spacing w:line="500" w:lineRule="exact"/>
        <w:ind w:firstLine="420" w:firstLineChars="200"/>
        <w:rPr>
          <w:rFonts w:ascii="宋体" w:hAnsi="宋体" w:cs="宋体"/>
          <w:szCs w:val="21"/>
        </w:rPr>
      </w:pPr>
      <w:r>
        <w:rPr>
          <w:rFonts w:hint="eastAsia" w:ascii="宋体" w:hAnsi="宋体" w:cs="宋体"/>
          <w:szCs w:val="21"/>
        </w:rPr>
        <w:t>（4）配合院内其他网络相关工作，为院内所有和网络相关的事宜提供技术支持。</w:t>
      </w:r>
    </w:p>
    <w:p>
      <w:pPr>
        <w:spacing w:line="500" w:lineRule="exact"/>
        <w:ind w:firstLine="420" w:firstLineChars="200"/>
        <w:rPr>
          <w:rFonts w:ascii="宋体" w:hAnsi="宋体"/>
          <w:b/>
          <w:bCs/>
          <w:szCs w:val="21"/>
        </w:rPr>
      </w:pPr>
      <w:r>
        <w:rPr>
          <w:rFonts w:hint="eastAsia" w:ascii="宋体" w:hAnsi="宋体"/>
          <w:b/>
          <w:bCs/>
          <w:szCs w:val="21"/>
        </w:rPr>
        <w:t>3、应急响应服务要求：</w:t>
      </w:r>
    </w:p>
    <w:p>
      <w:pPr>
        <w:spacing w:line="500" w:lineRule="exact"/>
        <w:ind w:firstLine="420" w:firstLineChars="200"/>
        <w:rPr>
          <w:rFonts w:ascii="宋体" w:hAnsi="宋体"/>
          <w:bCs/>
          <w:szCs w:val="21"/>
        </w:rPr>
      </w:pPr>
      <w:r>
        <w:rPr>
          <w:rFonts w:hint="eastAsia" w:ascii="宋体" w:hAnsi="宋体"/>
          <w:bCs/>
          <w:szCs w:val="21"/>
        </w:rPr>
        <w:t>投标人需提供每天24小时不间断服务，当院内系统设备发生技术性故障影响使用时，服务响应电话30分钟内进行实质性响应。如投标人认为无需现场解决，应保证4小时内解决故障，否则3小时内赶到现场，服务响应时间不超过半小时。到达现场后问题诊断时间不得超过2小时，并在4小时内恢复业务。</w:t>
      </w:r>
    </w:p>
    <w:p>
      <w:pPr>
        <w:spacing w:line="500" w:lineRule="exact"/>
        <w:ind w:firstLine="420" w:firstLineChars="200"/>
        <w:rPr>
          <w:rFonts w:ascii="宋体" w:hAnsi="宋体" w:cs="宋体"/>
          <w:b/>
          <w:szCs w:val="21"/>
        </w:rPr>
      </w:pPr>
      <w:r>
        <w:rPr>
          <w:rFonts w:hint="eastAsia" w:ascii="宋体" w:hAnsi="宋体"/>
          <w:b/>
          <w:bCs/>
          <w:szCs w:val="21"/>
        </w:rPr>
        <w:t>4、其他要求</w:t>
      </w:r>
      <w:r>
        <w:rPr>
          <w:rFonts w:hint="eastAsia" w:ascii="宋体" w:hAnsi="宋体" w:cs="宋体"/>
          <w:b/>
          <w:szCs w:val="21"/>
        </w:rPr>
        <w:t>（须提供相关认证证书复印件加盖投标人公章）</w:t>
      </w:r>
    </w:p>
    <w:p>
      <w:pPr>
        <w:spacing w:line="500" w:lineRule="exact"/>
        <w:ind w:firstLine="420" w:firstLineChars="200"/>
        <w:rPr>
          <w:rFonts w:ascii="宋体" w:hAnsi="宋体" w:cs="宋体"/>
          <w:szCs w:val="21"/>
        </w:rPr>
      </w:pPr>
      <w:r>
        <w:rPr>
          <w:rFonts w:hint="eastAsia" w:ascii="宋体" w:hAnsi="宋体" w:cs="宋体"/>
          <w:szCs w:val="21"/>
        </w:rPr>
        <w:t>1、投标人应当投入充足的技术力量，除项目负责人外至少2人具备主流厂商的中级网络工程师认证(</w:t>
      </w:r>
      <w:r>
        <w:rPr>
          <w:rFonts w:ascii="宋体" w:hAnsi="宋体" w:cs="宋体"/>
          <w:szCs w:val="21"/>
        </w:rPr>
        <w:t>CCNP,HCNP,H3CSE</w:t>
      </w:r>
      <w:r>
        <w:rPr>
          <w:rFonts w:hint="eastAsia" w:ascii="宋体" w:hAnsi="宋体" w:cs="宋体"/>
          <w:szCs w:val="21"/>
        </w:rPr>
        <w:t>等</w:t>
      </w:r>
      <w:r>
        <w:rPr>
          <w:rFonts w:ascii="宋体" w:hAnsi="宋体" w:cs="宋体"/>
          <w:szCs w:val="21"/>
        </w:rPr>
        <w:t>)</w:t>
      </w: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2、投标人的项目负责人应当具备至少一家主流路由交换厂商专家级别认证（例如C</w:t>
      </w:r>
      <w:r>
        <w:rPr>
          <w:rFonts w:ascii="宋体" w:hAnsi="宋体" w:cs="宋体"/>
          <w:szCs w:val="21"/>
        </w:rPr>
        <w:t>CIE,HCIE.H3CTE</w:t>
      </w:r>
      <w:r>
        <w:rPr>
          <w:rFonts w:hint="eastAsia" w:ascii="宋体" w:hAnsi="宋体" w:cs="宋体"/>
          <w:szCs w:val="21"/>
        </w:rPr>
        <w:t>等）。</w:t>
      </w:r>
    </w:p>
    <w:p>
      <w:pPr>
        <w:spacing w:line="500" w:lineRule="exact"/>
        <w:ind w:firstLine="420" w:firstLineChars="200"/>
        <w:rPr>
          <w:rFonts w:ascii="宋体" w:hAnsi="宋体"/>
          <w:bCs/>
          <w:szCs w:val="21"/>
        </w:rPr>
      </w:pPr>
      <w:r>
        <w:rPr>
          <w:rFonts w:hint="eastAsia" w:ascii="宋体" w:hAnsi="宋体"/>
          <w:bCs/>
          <w:szCs w:val="21"/>
        </w:rPr>
        <w:t>3、 投标人应当投入具有安全相关认证资质的技术力量（例如CISP、CISSP）。</w:t>
      </w:r>
    </w:p>
    <w:p>
      <w:pPr>
        <w:spacing w:line="500" w:lineRule="exact"/>
        <w:ind w:firstLine="420" w:firstLineChars="200"/>
        <w:rPr>
          <w:rFonts w:ascii="宋体" w:hAnsi="宋体"/>
          <w:bCs/>
          <w:szCs w:val="21"/>
        </w:rPr>
      </w:pPr>
      <w:r>
        <w:rPr>
          <w:rFonts w:hint="eastAsia" w:ascii="宋体" w:hAnsi="宋体"/>
          <w:bCs/>
          <w:szCs w:val="21"/>
        </w:rPr>
        <w:t>4、 投标人应当投入具有数据库相关认证资质的技术力量（例如VCP、OCP</w:t>
      </w:r>
      <w:r>
        <w:rPr>
          <w:rFonts w:ascii="宋体" w:hAnsi="宋体"/>
          <w:bCs/>
          <w:szCs w:val="21"/>
        </w:rPr>
        <w:t>）</w:t>
      </w:r>
      <w:r>
        <w:rPr>
          <w:rFonts w:hint="eastAsia" w:ascii="宋体" w:hAnsi="宋体"/>
          <w:bCs/>
          <w:szCs w:val="21"/>
        </w:rPr>
        <w:t>。</w:t>
      </w:r>
    </w:p>
    <w:p>
      <w:pPr>
        <w:spacing w:line="500" w:lineRule="exact"/>
        <w:jc w:val="center"/>
        <w:outlineLvl w:val="1"/>
        <w:rPr>
          <w:rFonts w:ascii="宋体" w:hAnsi="宋体"/>
          <w:b/>
          <w:bCs/>
          <w:sz w:val="28"/>
          <w:szCs w:val="28"/>
        </w:rPr>
      </w:pPr>
      <w:r>
        <w:rPr>
          <w:rFonts w:hint="eastAsia" w:ascii="宋体" w:hAnsi="宋体"/>
          <w:b/>
          <w:bCs/>
          <w:sz w:val="28"/>
          <w:szCs w:val="28"/>
        </w:rPr>
        <w:t>维护服务清单</w:t>
      </w:r>
    </w:p>
    <w:p>
      <w:pPr>
        <w:widowControl/>
        <w:jc w:val="left"/>
        <w:rPr>
          <w:rFonts w:ascii="华文仿宋" w:hAnsi="华文仿宋" w:eastAsia="华文仿宋"/>
          <w:sz w:val="24"/>
          <w:szCs w:val="24"/>
        </w:rPr>
      </w:pPr>
    </w:p>
    <w:tbl>
      <w:tblPr>
        <w:tblStyle w:val="12"/>
        <w:tblW w:w="8040" w:type="dxa"/>
        <w:tblInd w:w="93" w:type="dxa"/>
        <w:tblLayout w:type="autofit"/>
        <w:tblCellMar>
          <w:top w:w="0" w:type="dxa"/>
          <w:left w:w="108" w:type="dxa"/>
          <w:bottom w:w="0" w:type="dxa"/>
          <w:right w:w="108" w:type="dxa"/>
        </w:tblCellMar>
      </w:tblPr>
      <w:tblGrid>
        <w:gridCol w:w="960"/>
        <w:gridCol w:w="6120"/>
        <w:gridCol w:w="960"/>
      </w:tblGrid>
      <w:tr>
        <w:tblPrEx>
          <w:tblCellMar>
            <w:top w:w="0" w:type="dxa"/>
            <w:left w:w="108" w:type="dxa"/>
            <w:bottom w:w="0" w:type="dxa"/>
            <w:right w:w="108" w:type="dxa"/>
          </w:tblCellMar>
        </w:tblPrEx>
        <w:trPr>
          <w:trHeight w:val="28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序号</w:t>
            </w:r>
          </w:p>
        </w:tc>
        <w:tc>
          <w:tcPr>
            <w:tcW w:w="61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货物型号</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数量</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深信服AC-1100上网行为管理</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启明星辰-天清汉马 防火墙</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H3C S7503E交换机</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H3C S7506E交换机</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H3C LS5120交换机</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浪潮 NF 8560 M2服务器（HIS双机应用）</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浪潮 NF 5240 M3服务器（原PACS、财务、外网服务器等）</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深信服 超融合 服务器（PACS、财务、外网服务器等）</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美创 运维一体机</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金电网安 网闸</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深信服 防火墙</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KVM</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浪潮主存储 AS 500G</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浪潮备份存储 AS500 N2-M2</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精密空调</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消防灭火器</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防雷设备</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18</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趋势软件</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服务器基础系统（数据库、双机Rose等）</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w:t>
            </w:r>
          </w:p>
        </w:tc>
        <w:tc>
          <w:tcPr>
            <w:tcW w:w="61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防统方设备</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tbl>
    <w:p>
      <w:pPr>
        <w:widowControl/>
        <w:jc w:val="left"/>
        <w:rPr>
          <w:rFonts w:ascii="华文仿宋" w:hAnsi="华文仿宋" w:eastAsia="华文仿宋"/>
          <w:sz w:val="24"/>
          <w:szCs w:val="24"/>
        </w:rPr>
      </w:pPr>
    </w:p>
    <w:p/>
    <w:p>
      <w:pPr>
        <w:spacing w:line="600" w:lineRule="exact"/>
        <w:ind w:left="2" w:right="-476" w:rightChars="-227"/>
        <w:jc w:val="left"/>
        <w:rPr>
          <w:rFonts w:cs="Arial" w:asciiTheme="minorEastAsia" w:hAnsiTheme="minorEastAsia"/>
          <w:b/>
          <w:sz w:val="30"/>
          <w:szCs w:val="30"/>
        </w:rPr>
      </w:pPr>
    </w:p>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4"/>
        <w:spacing w:line="432" w:lineRule="auto"/>
        <w:ind w:firstLine="680" w:firstLineChars="200"/>
        <w:contextualSpacing/>
        <w:rPr>
          <w:sz w:val="34"/>
        </w:rPr>
      </w:pPr>
    </w:p>
    <w:p>
      <w:pPr>
        <w:pStyle w:val="4"/>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4"/>
        <w:spacing w:line="360" w:lineRule="auto"/>
        <w:ind w:firstLine="420" w:firstLineChars="200"/>
        <w:contextualSpacing/>
      </w:pPr>
      <w:r>
        <w:rPr>
          <w:rFonts w:hint="eastAsia"/>
        </w:rPr>
        <w:t>特此证明。</w:t>
      </w:r>
    </w:p>
    <w:p>
      <w:pPr>
        <w:pStyle w:val="4"/>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12"/>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4"/>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12"/>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4"/>
        <w:tabs>
          <w:tab w:val="left" w:pos="3655"/>
          <w:tab w:val="left" w:pos="6345"/>
        </w:tabs>
        <w:spacing w:line="360" w:lineRule="auto"/>
        <w:ind w:right="480" w:firstLine="4410" w:firstLineChars="2100"/>
        <w:contextualSpacing/>
      </w:pPr>
      <w:r>
        <w:rPr>
          <w:rFonts w:hint="eastAsia"/>
        </w:rPr>
        <w:t>投标供应商：（盖章）</w:t>
      </w:r>
    </w:p>
    <w:p>
      <w:pPr>
        <w:pStyle w:val="4"/>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法定代表人身份证号：</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授权代表签字：</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授权代表人身份证号：</w:t>
      </w:r>
      <w:r>
        <w:rPr>
          <w:rFonts w:hint="eastAsia" w:ascii="宋体" w:hAnsi="宋体"/>
          <w:u w:val="single"/>
        </w:rPr>
        <w:t xml:space="preserve">                     </w:t>
      </w:r>
    </w:p>
    <w:p>
      <w:pPr>
        <w:pStyle w:val="6"/>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12"/>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2"/>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0"/>
        <w:jc w:val="left"/>
        <w:rPr>
          <w:rFonts w:cs="仿宋" w:asciiTheme="majorEastAsia" w:hAnsiTheme="majorEastAsia" w:eastAsiaTheme="majorEastAsia"/>
          <w:b/>
          <w:bCs/>
          <w:spacing w:val="15"/>
          <w:sz w:val="30"/>
          <w:szCs w:val="30"/>
        </w:rPr>
      </w:pPr>
    </w:p>
    <w:tbl>
      <w:tblPr>
        <w:tblStyle w:val="12"/>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2"/>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3"/>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3"/>
        <w:ind w:firstLine="0"/>
        <w:jc w:val="center"/>
        <w:rPr>
          <w:rFonts w:ascii="宋体"/>
          <w:b/>
          <w:kern w:val="44"/>
          <w:sz w:val="24"/>
          <w:szCs w:val="24"/>
        </w:rPr>
      </w:pPr>
    </w:p>
    <w:p>
      <w:pPr>
        <w:pStyle w:val="3"/>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本次采购活动中我单位申报的所有资料都是真实、准确完整的，不存在虚假响应。</w:t>
      </w:r>
    </w:p>
    <w:p>
      <w:pPr>
        <w:pStyle w:val="3"/>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3"/>
        <w:spacing w:line="360" w:lineRule="auto"/>
        <w:ind w:firstLine="480" w:firstLineChars="200"/>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3"/>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3"/>
        <w:spacing w:line="360" w:lineRule="auto"/>
        <w:ind w:right="480" w:firstLine="4380" w:firstLineChars="182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7"/>
        <w:adjustRightInd w:val="0"/>
        <w:spacing w:line="520" w:lineRule="exact"/>
        <w:ind w:right="420" w:firstLine="420"/>
        <w:jc w:val="center"/>
        <w:rPr>
          <w:rFonts w:cs="宋体" w:asciiTheme="majorEastAsia" w:hAnsiTheme="majorEastAsia" w:eastAsiaTheme="majorEastAsia"/>
          <w:szCs w:val="21"/>
        </w:rPr>
      </w:pPr>
    </w:p>
    <w:p>
      <w:pPr>
        <w:pStyle w:val="7"/>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7"/>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7"/>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rPr>
          <w:rFonts w:ascii="楷体_GB2312" w:eastAsia="楷体_GB2312"/>
          <w:sz w:val="32"/>
          <w:szCs w:val="32"/>
        </w:rPr>
      </w:pPr>
      <w:r>
        <w:rPr>
          <w:rFonts w:hint="eastAsia" w:ascii="楷体_GB2312" w:eastAsia="楷体_GB2312"/>
          <w:sz w:val="32"/>
          <w:szCs w:val="32"/>
        </w:rPr>
        <w:t>　　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4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2"/>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1" w:name="EBba9c9bd7b5a64bcfb0f2dcb71e0ea086"/>
      <w:r>
        <w:rPr>
          <w:rFonts w:hint="eastAsia" w:ascii="宋体" w:hAnsi="宋体" w:cs="宋体"/>
          <w:b/>
          <w:sz w:val="24"/>
        </w:rPr>
        <w:t>380996306@qq.com</w:t>
      </w:r>
      <w:bookmarkEnd w:id="1"/>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p>
      <w:pPr>
        <w:spacing w:line="480" w:lineRule="exact"/>
        <w:ind w:firstLine="480" w:firstLineChars="200"/>
        <w:jc w:val="right"/>
        <w:rPr>
          <w:rFonts w:ascii="宋体" w:hAnsi="宋体"/>
          <w:sz w:val="24"/>
          <w:szCs w:val="24"/>
        </w:rPr>
      </w:pP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D60"/>
    <w:rsid w:val="00003E44"/>
    <w:rsid w:val="000042E7"/>
    <w:rsid w:val="0000643A"/>
    <w:rsid w:val="00007C53"/>
    <w:rsid w:val="000130F4"/>
    <w:rsid w:val="000177AD"/>
    <w:rsid w:val="00020EAC"/>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4EB3"/>
    <w:rsid w:val="0007551A"/>
    <w:rsid w:val="00076D0A"/>
    <w:rsid w:val="00084095"/>
    <w:rsid w:val="00084209"/>
    <w:rsid w:val="00091AB3"/>
    <w:rsid w:val="00095A28"/>
    <w:rsid w:val="00095E47"/>
    <w:rsid w:val="000A329A"/>
    <w:rsid w:val="000A39BE"/>
    <w:rsid w:val="000A5576"/>
    <w:rsid w:val="000C0CA3"/>
    <w:rsid w:val="000D1305"/>
    <w:rsid w:val="000D3A6F"/>
    <w:rsid w:val="000D72C6"/>
    <w:rsid w:val="000E2E32"/>
    <w:rsid w:val="000E4E44"/>
    <w:rsid w:val="000E636D"/>
    <w:rsid w:val="000F00DF"/>
    <w:rsid w:val="000F10DF"/>
    <w:rsid w:val="000F5187"/>
    <w:rsid w:val="001000F6"/>
    <w:rsid w:val="00105082"/>
    <w:rsid w:val="00110C8A"/>
    <w:rsid w:val="001134C3"/>
    <w:rsid w:val="001142EC"/>
    <w:rsid w:val="0012544F"/>
    <w:rsid w:val="00141571"/>
    <w:rsid w:val="00141779"/>
    <w:rsid w:val="00142446"/>
    <w:rsid w:val="00142AAF"/>
    <w:rsid w:val="00144BE7"/>
    <w:rsid w:val="00145DA8"/>
    <w:rsid w:val="00147D61"/>
    <w:rsid w:val="00150CF4"/>
    <w:rsid w:val="00156B64"/>
    <w:rsid w:val="001571F7"/>
    <w:rsid w:val="0015753C"/>
    <w:rsid w:val="00164A25"/>
    <w:rsid w:val="00165C45"/>
    <w:rsid w:val="00166662"/>
    <w:rsid w:val="001752DD"/>
    <w:rsid w:val="00182AA9"/>
    <w:rsid w:val="00184F23"/>
    <w:rsid w:val="00185525"/>
    <w:rsid w:val="00191239"/>
    <w:rsid w:val="00195721"/>
    <w:rsid w:val="001961B1"/>
    <w:rsid w:val="001A37CB"/>
    <w:rsid w:val="001A545E"/>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10400"/>
    <w:rsid w:val="00221170"/>
    <w:rsid w:val="002248B4"/>
    <w:rsid w:val="00230A34"/>
    <w:rsid w:val="0023342F"/>
    <w:rsid w:val="002345D7"/>
    <w:rsid w:val="00243FCD"/>
    <w:rsid w:val="002527AD"/>
    <w:rsid w:val="00260F2C"/>
    <w:rsid w:val="00264E6B"/>
    <w:rsid w:val="0026629F"/>
    <w:rsid w:val="002669ED"/>
    <w:rsid w:val="00271B1D"/>
    <w:rsid w:val="00274D6E"/>
    <w:rsid w:val="00275645"/>
    <w:rsid w:val="0027576A"/>
    <w:rsid w:val="00275F18"/>
    <w:rsid w:val="00276838"/>
    <w:rsid w:val="00277AA8"/>
    <w:rsid w:val="00281F72"/>
    <w:rsid w:val="002835DA"/>
    <w:rsid w:val="00286DF5"/>
    <w:rsid w:val="0028763D"/>
    <w:rsid w:val="00291ED9"/>
    <w:rsid w:val="002945EC"/>
    <w:rsid w:val="00294FBE"/>
    <w:rsid w:val="00296D0E"/>
    <w:rsid w:val="00297AA3"/>
    <w:rsid w:val="002A0769"/>
    <w:rsid w:val="002A1C1B"/>
    <w:rsid w:val="002B21ED"/>
    <w:rsid w:val="002B50CB"/>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6330"/>
    <w:rsid w:val="00311C07"/>
    <w:rsid w:val="00312D11"/>
    <w:rsid w:val="00314B6F"/>
    <w:rsid w:val="003165A2"/>
    <w:rsid w:val="00316692"/>
    <w:rsid w:val="003167AF"/>
    <w:rsid w:val="00321060"/>
    <w:rsid w:val="0032106F"/>
    <w:rsid w:val="00322436"/>
    <w:rsid w:val="00322D58"/>
    <w:rsid w:val="00324722"/>
    <w:rsid w:val="0033050A"/>
    <w:rsid w:val="00330BAD"/>
    <w:rsid w:val="0033264D"/>
    <w:rsid w:val="0033312F"/>
    <w:rsid w:val="00334712"/>
    <w:rsid w:val="00342CFC"/>
    <w:rsid w:val="00350419"/>
    <w:rsid w:val="003515CB"/>
    <w:rsid w:val="00351642"/>
    <w:rsid w:val="00351D00"/>
    <w:rsid w:val="003524EC"/>
    <w:rsid w:val="00353B3F"/>
    <w:rsid w:val="003610A2"/>
    <w:rsid w:val="00370E99"/>
    <w:rsid w:val="00371BEB"/>
    <w:rsid w:val="0037715E"/>
    <w:rsid w:val="00377563"/>
    <w:rsid w:val="0038083E"/>
    <w:rsid w:val="003810E7"/>
    <w:rsid w:val="00384D99"/>
    <w:rsid w:val="003876B8"/>
    <w:rsid w:val="003878B7"/>
    <w:rsid w:val="00391862"/>
    <w:rsid w:val="003969CD"/>
    <w:rsid w:val="003974AE"/>
    <w:rsid w:val="003A10FD"/>
    <w:rsid w:val="003A3061"/>
    <w:rsid w:val="003A51E4"/>
    <w:rsid w:val="003A5CEB"/>
    <w:rsid w:val="003B571D"/>
    <w:rsid w:val="003B6BFB"/>
    <w:rsid w:val="003C146D"/>
    <w:rsid w:val="003C35C9"/>
    <w:rsid w:val="003C6605"/>
    <w:rsid w:val="003C674A"/>
    <w:rsid w:val="003D2385"/>
    <w:rsid w:val="003D5F76"/>
    <w:rsid w:val="003D65CA"/>
    <w:rsid w:val="003E127A"/>
    <w:rsid w:val="003E43B8"/>
    <w:rsid w:val="003E53F9"/>
    <w:rsid w:val="003E58A4"/>
    <w:rsid w:val="003E62C4"/>
    <w:rsid w:val="003E6D01"/>
    <w:rsid w:val="003F04A1"/>
    <w:rsid w:val="003F1F56"/>
    <w:rsid w:val="003F3A93"/>
    <w:rsid w:val="0040192F"/>
    <w:rsid w:val="0040456A"/>
    <w:rsid w:val="00414DC2"/>
    <w:rsid w:val="00420C90"/>
    <w:rsid w:val="00421258"/>
    <w:rsid w:val="00421E01"/>
    <w:rsid w:val="0042253F"/>
    <w:rsid w:val="00425B77"/>
    <w:rsid w:val="00427B99"/>
    <w:rsid w:val="00431F66"/>
    <w:rsid w:val="00432DE4"/>
    <w:rsid w:val="00435F8A"/>
    <w:rsid w:val="00440126"/>
    <w:rsid w:val="00445243"/>
    <w:rsid w:val="00454496"/>
    <w:rsid w:val="00456303"/>
    <w:rsid w:val="004601C9"/>
    <w:rsid w:val="00460D03"/>
    <w:rsid w:val="00461A67"/>
    <w:rsid w:val="00463EE0"/>
    <w:rsid w:val="00464FFC"/>
    <w:rsid w:val="0046534B"/>
    <w:rsid w:val="0047084A"/>
    <w:rsid w:val="004735A2"/>
    <w:rsid w:val="004772F1"/>
    <w:rsid w:val="004840F5"/>
    <w:rsid w:val="00484C66"/>
    <w:rsid w:val="004875AD"/>
    <w:rsid w:val="004A0ABB"/>
    <w:rsid w:val="004A4B00"/>
    <w:rsid w:val="004A4DD3"/>
    <w:rsid w:val="004A73E7"/>
    <w:rsid w:val="004B3173"/>
    <w:rsid w:val="004B54A1"/>
    <w:rsid w:val="004B78A1"/>
    <w:rsid w:val="004C2343"/>
    <w:rsid w:val="004C3B23"/>
    <w:rsid w:val="004C6057"/>
    <w:rsid w:val="004C7118"/>
    <w:rsid w:val="004D2DD8"/>
    <w:rsid w:val="004D62B5"/>
    <w:rsid w:val="004E158A"/>
    <w:rsid w:val="004E1B2F"/>
    <w:rsid w:val="004F53D3"/>
    <w:rsid w:val="004F5448"/>
    <w:rsid w:val="0050109A"/>
    <w:rsid w:val="0050109B"/>
    <w:rsid w:val="00504008"/>
    <w:rsid w:val="0050475C"/>
    <w:rsid w:val="00504E84"/>
    <w:rsid w:val="0050637F"/>
    <w:rsid w:val="00506702"/>
    <w:rsid w:val="005073AB"/>
    <w:rsid w:val="005073D5"/>
    <w:rsid w:val="0051475B"/>
    <w:rsid w:val="00514985"/>
    <w:rsid w:val="005171CE"/>
    <w:rsid w:val="005256D8"/>
    <w:rsid w:val="00525B79"/>
    <w:rsid w:val="00527A5B"/>
    <w:rsid w:val="00537E6A"/>
    <w:rsid w:val="00540278"/>
    <w:rsid w:val="0054183C"/>
    <w:rsid w:val="00544D67"/>
    <w:rsid w:val="00545215"/>
    <w:rsid w:val="00556457"/>
    <w:rsid w:val="005564CC"/>
    <w:rsid w:val="00557E07"/>
    <w:rsid w:val="005618B6"/>
    <w:rsid w:val="00570C0C"/>
    <w:rsid w:val="00570E8E"/>
    <w:rsid w:val="005728F1"/>
    <w:rsid w:val="00572A03"/>
    <w:rsid w:val="00575ABF"/>
    <w:rsid w:val="00582A67"/>
    <w:rsid w:val="005858EA"/>
    <w:rsid w:val="00586826"/>
    <w:rsid w:val="00587EE7"/>
    <w:rsid w:val="00593BE9"/>
    <w:rsid w:val="00595A94"/>
    <w:rsid w:val="00596F15"/>
    <w:rsid w:val="005A137B"/>
    <w:rsid w:val="005A1EF6"/>
    <w:rsid w:val="005A46E2"/>
    <w:rsid w:val="005A6EC0"/>
    <w:rsid w:val="005B36E9"/>
    <w:rsid w:val="005B4768"/>
    <w:rsid w:val="005C56FB"/>
    <w:rsid w:val="005D21FD"/>
    <w:rsid w:val="005D59BD"/>
    <w:rsid w:val="005E2CAF"/>
    <w:rsid w:val="005E601D"/>
    <w:rsid w:val="005F03EB"/>
    <w:rsid w:val="005F0A24"/>
    <w:rsid w:val="005F0E11"/>
    <w:rsid w:val="005F384D"/>
    <w:rsid w:val="005F45A6"/>
    <w:rsid w:val="005F45CB"/>
    <w:rsid w:val="005F57FD"/>
    <w:rsid w:val="005F7B43"/>
    <w:rsid w:val="00600852"/>
    <w:rsid w:val="00602D3B"/>
    <w:rsid w:val="0060425B"/>
    <w:rsid w:val="0060554D"/>
    <w:rsid w:val="00606A5A"/>
    <w:rsid w:val="006105D8"/>
    <w:rsid w:val="00613498"/>
    <w:rsid w:val="00614AEC"/>
    <w:rsid w:val="00615131"/>
    <w:rsid w:val="00615321"/>
    <w:rsid w:val="00615558"/>
    <w:rsid w:val="006165DA"/>
    <w:rsid w:val="00616E75"/>
    <w:rsid w:val="0062100E"/>
    <w:rsid w:val="00623C48"/>
    <w:rsid w:val="00625F40"/>
    <w:rsid w:val="00626CAB"/>
    <w:rsid w:val="00645B87"/>
    <w:rsid w:val="00645C46"/>
    <w:rsid w:val="00645DCE"/>
    <w:rsid w:val="006476B8"/>
    <w:rsid w:val="00654813"/>
    <w:rsid w:val="006674B3"/>
    <w:rsid w:val="00672488"/>
    <w:rsid w:val="00677C5D"/>
    <w:rsid w:val="00680D75"/>
    <w:rsid w:val="006851E6"/>
    <w:rsid w:val="006858C2"/>
    <w:rsid w:val="0069125B"/>
    <w:rsid w:val="006948C8"/>
    <w:rsid w:val="006A20A3"/>
    <w:rsid w:val="006A4268"/>
    <w:rsid w:val="006B1BD2"/>
    <w:rsid w:val="006B22F1"/>
    <w:rsid w:val="006B2BF7"/>
    <w:rsid w:val="006B67B8"/>
    <w:rsid w:val="006D1474"/>
    <w:rsid w:val="006E0AC1"/>
    <w:rsid w:val="006E1F04"/>
    <w:rsid w:val="006E3E27"/>
    <w:rsid w:val="006E4CC3"/>
    <w:rsid w:val="006E6D33"/>
    <w:rsid w:val="006F12C5"/>
    <w:rsid w:val="006F53D2"/>
    <w:rsid w:val="006F7FEF"/>
    <w:rsid w:val="00704DBE"/>
    <w:rsid w:val="0070781F"/>
    <w:rsid w:val="00707C40"/>
    <w:rsid w:val="0071026D"/>
    <w:rsid w:val="00710EEC"/>
    <w:rsid w:val="00715B2D"/>
    <w:rsid w:val="00726155"/>
    <w:rsid w:val="00726D56"/>
    <w:rsid w:val="007307B3"/>
    <w:rsid w:val="00730CEE"/>
    <w:rsid w:val="00731767"/>
    <w:rsid w:val="00731831"/>
    <w:rsid w:val="00732883"/>
    <w:rsid w:val="00733C53"/>
    <w:rsid w:val="00737677"/>
    <w:rsid w:val="007377D3"/>
    <w:rsid w:val="00740444"/>
    <w:rsid w:val="0074156B"/>
    <w:rsid w:val="00741E10"/>
    <w:rsid w:val="00742958"/>
    <w:rsid w:val="00743520"/>
    <w:rsid w:val="00743A31"/>
    <w:rsid w:val="007459AF"/>
    <w:rsid w:val="00745EAD"/>
    <w:rsid w:val="0074623A"/>
    <w:rsid w:val="00750B0E"/>
    <w:rsid w:val="00753967"/>
    <w:rsid w:val="00755781"/>
    <w:rsid w:val="00756470"/>
    <w:rsid w:val="00761C22"/>
    <w:rsid w:val="007638D6"/>
    <w:rsid w:val="007641A2"/>
    <w:rsid w:val="00764C80"/>
    <w:rsid w:val="00771923"/>
    <w:rsid w:val="00771F8E"/>
    <w:rsid w:val="007755B1"/>
    <w:rsid w:val="00776976"/>
    <w:rsid w:val="00781913"/>
    <w:rsid w:val="007834F4"/>
    <w:rsid w:val="007857B6"/>
    <w:rsid w:val="00787A1B"/>
    <w:rsid w:val="00792CAF"/>
    <w:rsid w:val="0079754D"/>
    <w:rsid w:val="007A237B"/>
    <w:rsid w:val="007A37BB"/>
    <w:rsid w:val="007A6E2A"/>
    <w:rsid w:val="007A78BC"/>
    <w:rsid w:val="007B0AC0"/>
    <w:rsid w:val="007B3814"/>
    <w:rsid w:val="007B4045"/>
    <w:rsid w:val="007B595D"/>
    <w:rsid w:val="007B5B40"/>
    <w:rsid w:val="007B7AE8"/>
    <w:rsid w:val="007B7C80"/>
    <w:rsid w:val="007C000E"/>
    <w:rsid w:val="007C03FD"/>
    <w:rsid w:val="007C1ED4"/>
    <w:rsid w:val="007C50A0"/>
    <w:rsid w:val="007D1D0C"/>
    <w:rsid w:val="007D2018"/>
    <w:rsid w:val="007D7C70"/>
    <w:rsid w:val="007E1669"/>
    <w:rsid w:val="007E28C0"/>
    <w:rsid w:val="007E4092"/>
    <w:rsid w:val="007E696B"/>
    <w:rsid w:val="007F1251"/>
    <w:rsid w:val="007F3545"/>
    <w:rsid w:val="007F694A"/>
    <w:rsid w:val="00800383"/>
    <w:rsid w:val="008016EA"/>
    <w:rsid w:val="00801D2A"/>
    <w:rsid w:val="00803329"/>
    <w:rsid w:val="00803680"/>
    <w:rsid w:val="00803A19"/>
    <w:rsid w:val="0081240C"/>
    <w:rsid w:val="00812C11"/>
    <w:rsid w:val="0081664D"/>
    <w:rsid w:val="00827689"/>
    <w:rsid w:val="00830098"/>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5E86"/>
    <w:rsid w:val="00875843"/>
    <w:rsid w:val="00877743"/>
    <w:rsid w:val="008809E8"/>
    <w:rsid w:val="008842CD"/>
    <w:rsid w:val="008859DE"/>
    <w:rsid w:val="00886F77"/>
    <w:rsid w:val="00887000"/>
    <w:rsid w:val="00890C59"/>
    <w:rsid w:val="00892223"/>
    <w:rsid w:val="00892F58"/>
    <w:rsid w:val="008937F2"/>
    <w:rsid w:val="00895A90"/>
    <w:rsid w:val="008A2634"/>
    <w:rsid w:val="008A737F"/>
    <w:rsid w:val="008B1761"/>
    <w:rsid w:val="008B306F"/>
    <w:rsid w:val="008C0AD7"/>
    <w:rsid w:val="008C0CCB"/>
    <w:rsid w:val="008C763F"/>
    <w:rsid w:val="008C7711"/>
    <w:rsid w:val="008D2215"/>
    <w:rsid w:val="008D27F1"/>
    <w:rsid w:val="008E064B"/>
    <w:rsid w:val="008E0C52"/>
    <w:rsid w:val="008E3337"/>
    <w:rsid w:val="008E5C9D"/>
    <w:rsid w:val="008E65E2"/>
    <w:rsid w:val="008F0698"/>
    <w:rsid w:val="008F1349"/>
    <w:rsid w:val="008F23BB"/>
    <w:rsid w:val="008F389A"/>
    <w:rsid w:val="008F758D"/>
    <w:rsid w:val="008F7EE2"/>
    <w:rsid w:val="009036E7"/>
    <w:rsid w:val="00903ADD"/>
    <w:rsid w:val="00906002"/>
    <w:rsid w:val="00910575"/>
    <w:rsid w:val="00911B5B"/>
    <w:rsid w:val="009130BD"/>
    <w:rsid w:val="00913A39"/>
    <w:rsid w:val="0091469E"/>
    <w:rsid w:val="00915809"/>
    <w:rsid w:val="00917A4B"/>
    <w:rsid w:val="0092224C"/>
    <w:rsid w:val="009235CA"/>
    <w:rsid w:val="009251A0"/>
    <w:rsid w:val="00926B3D"/>
    <w:rsid w:val="00926B9B"/>
    <w:rsid w:val="00931A5E"/>
    <w:rsid w:val="00935EDE"/>
    <w:rsid w:val="009371CC"/>
    <w:rsid w:val="00942922"/>
    <w:rsid w:val="00943C19"/>
    <w:rsid w:val="009470E2"/>
    <w:rsid w:val="00950E26"/>
    <w:rsid w:val="00951B72"/>
    <w:rsid w:val="0095474B"/>
    <w:rsid w:val="009557C9"/>
    <w:rsid w:val="009568B2"/>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AF4"/>
    <w:rsid w:val="00997220"/>
    <w:rsid w:val="009A194E"/>
    <w:rsid w:val="009B0E6F"/>
    <w:rsid w:val="009B67D5"/>
    <w:rsid w:val="009C0F3C"/>
    <w:rsid w:val="009C2C94"/>
    <w:rsid w:val="009D3CAA"/>
    <w:rsid w:val="009D7273"/>
    <w:rsid w:val="009E215B"/>
    <w:rsid w:val="009E5370"/>
    <w:rsid w:val="009E7F91"/>
    <w:rsid w:val="009F0439"/>
    <w:rsid w:val="009F0EA3"/>
    <w:rsid w:val="009F2CDF"/>
    <w:rsid w:val="009F6365"/>
    <w:rsid w:val="00A0092C"/>
    <w:rsid w:val="00A00B5F"/>
    <w:rsid w:val="00A06980"/>
    <w:rsid w:val="00A10B66"/>
    <w:rsid w:val="00A10D21"/>
    <w:rsid w:val="00A12996"/>
    <w:rsid w:val="00A16FE9"/>
    <w:rsid w:val="00A23B4A"/>
    <w:rsid w:val="00A26D09"/>
    <w:rsid w:val="00A31C12"/>
    <w:rsid w:val="00A3215F"/>
    <w:rsid w:val="00A35B12"/>
    <w:rsid w:val="00A3776A"/>
    <w:rsid w:val="00A4198D"/>
    <w:rsid w:val="00A41FB5"/>
    <w:rsid w:val="00A4213A"/>
    <w:rsid w:val="00A427EF"/>
    <w:rsid w:val="00A44374"/>
    <w:rsid w:val="00A50853"/>
    <w:rsid w:val="00A54A7F"/>
    <w:rsid w:val="00A55058"/>
    <w:rsid w:val="00A56CEF"/>
    <w:rsid w:val="00A67CF5"/>
    <w:rsid w:val="00A7018A"/>
    <w:rsid w:val="00A729A6"/>
    <w:rsid w:val="00A760CF"/>
    <w:rsid w:val="00A770AA"/>
    <w:rsid w:val="00A81EDB"/>
    <w:rsid w:val="00A84799"/>
    <w:rsid w:val="00A851BC"/>
    <w:rsid w:val="00A854BB"/>
    <w:rsid w:val="00A863CB"/>
    <w:rsid w:val="00A86B8E"/>
    <w:rsid w:val="00A948AA"/>
    <w:rsid w:val="00A95552"/>
    <w:rsid w:val="00A96916"/>
    <w:rsid w:val="00A96ECF"/>
    <w:rsid w:val="00A972AF"/>
    <w:rsid w:val="00AA0011"/>
    <w:rsid w:val="00AA16B6"/>
    <w:rsid w:val="00AA7BB9"/>
    <w:rsid w:val="00AB0278"/>
    <w:rsid w:val="00AB39E2"/>
    <w:rsid w:val="00AB451B"/>
    <w:rsid w:val="00AB5AA0"/>
    <w:rsid w:val="00AB5EFA"/>
    <w:rsid w:val="00AB60EF"/>
    <w:rsid w:val="00AB6F30"/>
    <w:rsid w:val="00AC61FE"/>
    <w:rsid w:val="00AE1571"/>
    <w:rsid w:val="00AE201D"/>
    <w:rsid w:val="00AE5BB8"/>
    <w:rsid w:val="00AE74FC"/>
    <w:rsid w:val="00AF6232"/>
    <w:rsid w:val="00B03998"/>
    <w:rsid w:val="00B04AAE"/>
    <w:rsid w:val="00B04AC4"/>
    <w:rsid w:val="00B102D5"/>
    <w:rsid w:val="00B15D7F"/>
    <w:rsid w:val="00B2133C"/>
    <w:rsid w:val="00B247DC"/>
    <w:rsid w:val="00B30483"/>
    <w:rsid w:val="00B346DE"/>
    <w:rsid w:val="00B3538D"/>
    <w:rsid w:val="00B37565"/>
    <w:rsid w:val="00B4102C"/>
    <w:rsid w:val="00B438E7"/>
    <w:rsid w:val="00B46495"/>
    <w:rsid w:val="00B47A36"/>
    <w:rsid w:val="00B51A7E"/>
    <w:rsid w:val="00B5318C"/>
    <w:rsid w:val="00B5352F"/>
    <w:rsid w:val="00B53EF0"/>
    <w:rsid w:val="00B55828"/>
    <w:rsid w:val="00B56DD3"/>
    <w:rsid w:val="00B603A6"/>
    <w:rsid w:val="00B60651"/>
    <w:rsid w:val="00B6447D"/>
    <w:rsid w:val="00B65407"/>
    <w:rsid w:val="00B7363C"/>
    <w:rsid w:val="00B74AF1"/>
    <w:rsid w:val="00B77C78"/>
    <w:rsid w:val="00B8003B"/>
    <w:rsid w:val="00B8405A"/>
    <w:rsid w:val="00B857DA"/>
    <w:rsid w:val="00B86275"/>
    <w:rsid w:val="00B86858"/>
    <w:rsid w:val="00B908B2"/>
    <w:rsid w:val="00B94C57"/>
    <w:rsid w:val="00BA1DCB"/>
    <w:rsid w:val="00BA3127"/>
    <w:rsid w:val="00BA36C1"/>
    <w:rsid w:val="00BA6EC6"/>
    <w:rsid w:val="00BA748D"/>
    <w:rsid w:val="00BB0A68"/>
    <w:rsid w:val="00BB29A3"/>
    <w:rsid w:val="00BB3BA9"/>
    <w:rsid w:val="00BB4BC2"/>
    <w:rsid w:val="00BB6908"/>
    <w:rsid w:val="00BC35CE"/>
    <w:rsid w:val="00BC3A02"/>
    <w:rsid w:val="00BD2FB4"/>
    <w:rsid w:val="00BD5903"/>
    <w:rsid w:val="00BE168F"/>
    <w:rsid w:val="00BE3492"/>
    <w:rsid w:val="00BE36B4"/>
    <w:rsid w:val="00BE3EEF"/>
    <w:rsid w:val="00BE4BA6"/>
    <w:rsid w:val="00BE4BE1"/>
    <w:rsid w:val="00BE5B45"/>
    <w:rsid w:val="00BF06A5"/>
    <w:rsid w:val="00BF0D69"/>
    <w:rsid w:val="00BF35B2"/>
    <w:rsid w:val="00BF5973"/>
    <w:rsid w:val="00C016E5"/>
    <w:rsid w:val="00C04F56"/>
    <w:rsid w:val="00C1373F"/>
    <w:rsid w:val="00C13DD3"/>
    <w:rsid w:val="00C15345"/>
    <w:rsid w:val="00C15956"/>
    <w:rsid w:val="00C2037B"/>
    <w:rsid w:val="00C2488B"/>
    <w:rsid w:val="00C257CF"/>
    <w:rsid w:val="00C25EA5"/>
    <w:rsid w:val="00C30754"/>
    <w:rsid w:val="00C34681"/>
    <w:rsid w:val="00C375B5"/>
    <w:rsid w:val="00C37D02"/>
    <w:rsid w:val="00C41651"/>
    <w:rsid w:val="00C43DE3"/>
    <w:rsid w:val="00C441D4"/>
    <w:rsid w:val="00C445B5"/>
    <w:rsid w:val="00C4471F"/>
    <w:rsid w:val="00C5069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82610"/>
    <w:rsid w:val="00C92150"/>
    <w:rsid w:val="00C94B15"/>
    <w:rsid w:val="00CA20B2"/>
    <w:rsid w:val="00CA21BA"/>
    <w:rsid w:val="00CA45C6"/>
    <w:rsid w:val="00CA564E"/>
    <w:rsid w:val="00CA58C5"/>
    <w:rsid w:val="00CB1C5C"/>
    <w:rsid w:val="00CB21B5"/>
    <w:rsid w:val="00CB4ED4"/>
    <w:rsid w:val="00CB62A2"/>
    <w:rsid w:val="00CB7796"/>
    <w:rsid w:val="00CC08D6"/>
    <w:rsid w:val="00CC1CE7"/>
    <w:rsid w:val="00CC2002"/>
    <w:rsid w:val="00CC2E5B"/>
    <w:rsid w:val="00CC30F1"/>
    <w:rsid w:val="00CC584C"/>
    <w:rsid w:val="00CD0CFC"/>
    <w:rsid w:val="00CD13D1"/>
    <w:rsid w:val="00CD1541"/>
    <w:rsid w:val="00CD528E"/>
    <w:rsid w:val="00CE4438"/>
    <w:rsid w:val="00CE7D02"/>
    <w:rsid w:val="00CF3C01"/>
    <w:rsid w:val="00D02F70"/>
    <w:rsid w:val="00D135CE"/>
    <w:rsid w:val="00D140FE"/>
    <w:rsid w:val="00D15960"/>
    <w:rsid w:val="00D17105"/>
    <w:rsid w:val="00D23258"/>
    <w:rsid w:val="00D24E44"/>
    <w:rsid w:val="00D2753C"/>
    <w:rsid w:val="00D369BC"/>
    <w:rsid w:val="00D37B07"/>
    <w:rsid w:val="00D456CE"/>
    <w:rsid w:val="00D5041B"/>
    <w:rsid w:val="00D504BD"/>
    <w:rsid w:val="00D50BAC"/>
    <w:rsid w:val="00D5514E"/>
    <w:rsid w:val="00D557EB"/>
    <w:rsid w:val="00D55DB7"/>
    <w:rsid w:val="00D5739D"/>
    <w:rsid w:val="00D57CC7"/>
    <w:rsid w:val="00D61DDA"/>
    <w:rsid w:val="00D63AA9"/>
    <w:rsid w:val="00D64164"/>
    <w:rsid w:val="00D670E5"/>
    <w:rsid w:val="00D7196B"/>
    <w:rsid w:val="00D7400F"/>
    <w:rsid w:val="00D7632C"/>
    <w:rsid w:val="00D77820"/>
    <w:rsid w:val="00D77CCC"/>
    <w:rsid w:val="00D77F0C"/>
    <w:rsid w:val="00D80093"/>
    <w:rsid w:val="00D81A1A"/>
    <w:rsid w:val="00D82E7F"/>
    <w:rsid w:val="00D85299"/>
    <w:rsid w:val="00D85630"/>
    <w:rsid w:val="00D93C1B"/>
    <w:rsid w:val="00D94A40"/>
    <w:rsid w:val="00D95347"/>
    <w:rsid w:val="00D95F65"/>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A1D"/>
    <w:rsid w:val="00DE14DC"/>
    <w:rsid w:val="00DE4466"/>
    <w:rsid w:val="00DE5F46"/>
    <w:rsid w:val="00DF042F"/>
    <w:rsid w:val="00DF240D"/>
    <w:rsid w:val="00DF251F"/>
    <w:rsid w:val="00DF500E"/>
    <w:rsid w:val="00E02F13"/>
    <w:rsid w:val="00E03BC3"/>
    <w:rsid w:val="00E1095E"/>
    <w:rsid w:val="00E151DA"/>
    <w:rsid w:val="00E217D6"/>
    <w:rsid w:val="00E22B5B"/>
    <w:rsid w:val="00E2330B"/>
    <w:rsid w:val="00E23C5D"/>
    <w:rsid w:val="00E24CD7"/>
    <w:rsid w:val="00E267C6"/>
    <w:rsid w:val="00E330E9"/>
    <w:rsid w:val="00E33C8C"/>
    <w:rsid w:val="00E3628A"/>
    <w:rsid w:val="00E42EB7"/>
    <w:rsid w:val="00E4472B"/>
    <w:rsid w:val="00E50723"/>
    <w:rsid w:val="00E51656"/>
    <w:rsid w:val="00E53A1A"/>
    <w:rsid w:val="00E54036"/>
    <w:rsid w:val="00E559C7"/>
    <w:rsid w:val="00E638DC"/>
    <w:rsid w:val="00E76210"/>
    <w:rsid w:val="00E81E45"/>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6195"/>
    <w:rsid w:val="00ED6FDD"/>
    <w:rsid w:val="00ED789F"/>
    <w:rsid w:val="00EE7477"/>
    <w:rsid w:val="00EF16F6"/>
    <w:rsid w:val="00EF24D2"/>
    <w:rsid w:val="00EF7459"/>
    <w:rsid w:val="00F00D71"/>
    <w:rsid w:val="00F0413C"/>
    <w:rsid w:val="00F05816"/>
    <w:rsid w:val="00F125A8"/>
    <w:rsid w:val="00F12CE2"/>
    <w:rsid w:val="00F164C6"/>
    <w:rsid w:val="00F255A9"/>
    <w:rsid w:val="00F2625B"/>
    <w:rsid w:val="00F433FA"/>
    <w:rsid w:val="00F4381E"/>
    <w:rsid w:val="00F53F2B"/>
    <w:rsid w:val="00F56F68"/>
    <w:rsid w:val="00F6513B"/>
    <w:rsid w:val="00F656F4"/>
    <w:rsid w:val="00F74099"/>
    <w:rsid w:val="00F820B2"/>
    <w:rsid w:val="00F82C60"/>
    <w:rsid w:val="00F8611B"/>
    <w:rsid w:val="00F906E9"/>
    <w:rsid w:val="00F93E8D"/>
    <w:rsid w:val="00F95499"/>
    <w:rsid w:val="00F96BDC"/>
    <w:rsid w:val="00FA4AF2"/>
    <w:rsid w:val="00FB1483"/>
    <w:rsid w:val="00FB17B1"/>
    <w:rsid w:val="00FB76F2"/>
    <w:rsid w:val="00FC0DC6"/>
    <w:rsid w:val="00FC15E9"/>
    <w:rsid w:val="00FC2CD1"/>
    <w:rsid w:val="00FD2E30"/>
    <w:rsid w:val="00FD5359"/>
    <w:rsid w:val="00FD5C4D"/>
    <w:rsid w:val="00FD6B39"/>
    <w:rsid w:val="00FE2E49"/>
    <w:rsid w:val="00FE4409"/>
    <w:rsid w:val="00FE480C"/>
    <w:rsid w:val="00FE4DD1"/>
    <w:rsid w:val="00FE50EC"/>
    <w:rsid w:val="00FF0E13"/>
    <w:rsid w:val="00FF1567"/>
    <w:rsid w:val="00FF4142"/>
    <w:rsid w:val="00FF4470"/>
    <w:rsid w:val="00FF4A09"/>
    <w:rsid w:val="0256715F"/>
    <w:rsid w:val="0A7024DB"/>
    <w:rsid w:val="0B263E44"/>
    <w:rsid w:val="0C2051B1"/>
    <w:rsid w:val="0DE94D00"/>
    <w:rsid w:val="12EE2FC0"/>
    <w:rsid w:val="1B9C0B03"/>
    <w:rsid w:val="1C975504"/>
    <w:rsid w:val="226C65C6"/>
    <w:rsid w:val="281D2DAB"/>
    <w:rsid w:val="2E9B7447"/>
    <w:rsid w:val="346752EA"/>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jc w:val="left"/>
      <w:outlineLvl w:val="0"/>
    </w:pPr>
    <w:rPr>
      <w:rFonts w:ascii="宋体" w:hAnsi="宋体" w:eastAsia="宋体"/>
      <w:b/>
      <w:bCs/>
      <w:kern w:val="0"/>
      <w:sz w:val="32"/>
      <w:szCs w:val="32"/>
      <w:lang w:eastAsia="en-U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kern w:val="0"/>
      <w:sz w:val="20"/>
      <w:szCs w:val="20"/>
    </w:rPr>
  </w:style>
  <w:style w:type="paragraph" w:styleId="4">
    <w:name w:val="Body Text"/>
    <w:basedOn w:val="1"/>
    <w:link w:val="25"/>
    <w:semiHidden/>
    <w:unhideWhenUsed/>
    <w:qFormat/>
    <w:uiPriority w:val="99"/>
    <w:pPr>
      <w:spacing w:after="120"/>
    </w:pPr>
  </w:style>
  <w:style w:type="paragraph" w:styleId="5">
    <w:name w:val="Plain Text"/>
    <w:basedOn w:val="1"/>
    <w:qFormat/>
    <w:uiPriority w:val="0"/>
    <w:rPr>
      <w:rFonts w:ascii="宋体" w:hAnsi="Courier New"/>
      <w:sz w:val="28"/>
      <w:szCs w:val="28"/>
    </w:rPr>
  </w:style>
  <w:style w:type="paragraph" w:styleId="6">
    <w:name w:val="Date"/>
    <w:basedOn w:val="1"/>
    <w:next w:val="1"/>
    <w:link w:val="26"/>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7">
    <w:name w:val="Body Text Indent 2"/>
    <w:basedOn w:val="1"/>
    <w:link w:val="24"/>
    <w:qFormat/>
    <w:uiPriority w:val="0"/>
    <w:pPr>
      <w:spacing w:after="120" w:line="480" w:lineRule="auto"/>
      <w:ind w:left="420" w:leftChars="200"/>
    </w:pPr>
    <w:rPr>
      <w:rFonts w:ascii="Calibri" w:hAnsi="Calibri" w:eastAsia="宋体" w:cs="Times New Roman"/>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unhideWhenUsed/>
    <w:qFormat/>
    <w:uiPriority w:val="0"/>
    <w:pPr>
      <w:ind w:left="200" w:hanging="200" w:hangingChars="200"/>
    </w:pPr>
    <w:rPr>
      <w:rFonts w:ascii="Times New Roman" w:hAnsi="Times New Roman" w:eastAsia="宋体" w:cs="Times New Roman"/>
      <w:szCs w:val="24"/>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222222"/>
      <w:u w:val="none"/>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customStyle="1" w:styleId="18">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19">
    <w:name w:val="_Style 1"/>
    <w:basedOn w:val="1"/>
    <w:qFormat/>
    <w:uiPriority w:val="34"/>
    <w:pPr>
      <w:ind w:firstLine="420" w:firstLineChars="200"/>
    </w:pPr>
    <w:rPr>
      <w:rFonts w:ascii="Calibri" w:hAnsi="Calibri" w:eastAsia="宋体" w:cs="Times New Roman"/>
    </w:rPr>
  </w:style>
  <w:style w:type="paragraph" w:customStyle="1" w:styleId="20">
    <w:name w:val="列出段落11"/>
    <w:basedOn w:val="1"/>
    <w:link w:val="21"/>
    <w:qFormat/>
    <w:uiPriority w:val="34"/>
    <w:pPr>
      <w:ind w:firstLine="420" w:firstLineChars="200"/>
    </w:pPr>
    <w:rPr>
      <w:rFonts w:ascii="宋体" w:hAnsi="宋体" w:eastAsia="宋体" w:cs="Times New Roman"/>
      <w:sz w:val="24"/>
      <w:szCs w:val="24"/>
    </w:rPr>
  </w:style>
  <w:style w:type="character" w:customStyle="1" w:styleId="21">
    <w:name w:val="List Paragraph Char"/>
    <w:link w:val="20"/>
    <w:qFormat/>
    <w:locked/>
    <w:uiPriority w:val="34"/>
    <w:rPr>
      <w:rFonts w:ascii="宋体" w:hAnsi="宋体"/>
      <w:kern w:val="2"/>
      <w:sz w:val="24"/>
      <w:szCs w:val="24"/>
    </w:rPr>
  </w:style>
  <w:style w:type="paragraph" w:customStyle="1" w:styleId="22">
    <w:name w:val="样式3"/>
    <w:basedOn w:val="5"/>
    <w:qFormat/>
    <w:uiPriority w:val="0"/>
    <w:pPr>
      <w:spacing w:line="0" w:lineRule="atLeast"/>
      <w:outlineLvl w:val="0"/>
    </w:pPr>
    <w:rPr>
      <w:rFonts w:eastAsia="宋体" w:cs="Times New Roman"/>
      <w:szCs w:val="20"/>
    </w:rPr>
  </w:style>
  <w:style w:type="character" w:customStyle="1" w:styleId="23">
    <w:name w:val="标题 1 Char"/>
    <w:basedOn w:val="14"/>
    <w:link w:val="2"/>
    <w:qFormat/>
    <w:uiPriority w:val="0"/>
    <w:rPr>
      <w:rFonts w:ascii="宋体" w:hAnsi="宋体" w:cstheme="minorBidi"/>
      <w:b/>
      <w:bCs/>
      <w:sz w:val="32"/>
      <w:szCs w:val="32"/>
      <w:lang w:eastAsia="en-US"/>
    </w:rPr>
  </w:style>
  <w:style w:type="character" w:customStyle="1" w:styleId="24">
    <w:name w:val="正文文本缩进 2 Char"/>
    <w:basedOn w:val="14"/>
    <w:link w:val="7"/>
    <w:qFormat/>
    <w:uiPriority w:val="0"/>
    <w:rPr>
      <w:rFonts w:ascii="Calibri" w:hAnsi="Calibri"/>
      <w:kern w:val="2"/>
      <w:sz w:val="21"/>
      <w:szCs w:val="22"/>
    </w:rPr>
  </w:style>
  <w:style w:type="character" w:customStyle="1" w:styleId="25">
    <w:name w:val="正文文本 Char"/>
    <w:basedOn w:val="14"/>
    <w:link w:val="4"/>
    <w:semiHidden/>
    <w:qFormat/>
    <w:uiPriority w:val="99"/>
    <w:rPr>
      <w:kern w:val="2"/>
      <w:sz w:val="21"/>
      <w:szCs w:val="22"/>
    </w:rPr>
  </w:style>
  <w:style w:type="character" w:customStyle="1" w:styleId="26">
    <w:name w:val="日期 Char"/>
    <w:basedOn w:val="14"/>
    <w:link w:val="6"/>
    <w:qFormat/>
    <w:uiPriority w:val="0"/>
    <w:rPr>
      <w:rFonts w:ascii="Times New Roman" w:hAnsi="Times New Roman" w:eastAsia="宋体" w:cs="Times New Roman"/>
      <w:sz w:val="24"/>
      <w:szCs w:val="24"/>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878</Words>
  <Characters>5009</Characters>
  <Lines>41</Lines>
  <Paragraphs>11</Paragraphs>
  <TotalTime>23</TotalTime>
  <ScaleCrop>false</ScaleCrop>
  <LinksUpToDate>false</LinksUpToDate>
  <CharactersWithSpaces>5876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2020-07-14T07:03:32Z</dcterms:modified>
  <cp:revision>7344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