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lang w:eastAsia="zh-CN"/>
        </w:rPr>
      </w:pPr>
      <w:r>
        <w:rPr>
          <w:rFonts w:hint="eastAsia" w:asciiTheme="minorEastAsia" w:hAnsiTheme="minorEastAsia"/>
          <w:spacing w:val="15"/>
          <w:sz w:val="36"/>
          <w:szCs w:val="36"/>
          <w:lang w:eastAsia="zh-CN"/>
        </w:rPr>
        <w:t>JDFYCG-2023004</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lang w:eastAsia="zh-CN"/>
        </w:rPr>
        <w:t>扬州市江都妇幼保健院数码局部恒温仪</w:t>
      </w:r>
      <w:r>
        <w:rPr>
          <w:rFonts w:hint="eastAsia" w:asciiTheme="minorEastAsia" w:hAnsiTheme="minorEastAsia"/>
          <w:b/>
          <w:spacing w:val="15"/>
          <w:sz w:val="44"/>
          <w:szCs w:val="44"/>
        </w:rPr>
        <w:t>采购项目</w:t>
      </w:r>
      <w:r>
        <w:rPr>
          <w:rFonts w:hint="eastAsia" w:asciiTheme="minorEastAsia" w:hAnsiTheme="minorEastAsia"/>
          <w:b/>
          <w:spacing w:val="15"/>
          <w:sz w:val="44"/>
          <w:szCs w:val="44"/>
          <w:lang w:eastAsia="zh-CN"/>
        </w:rPr>
        <w:t>（</w:t>
      </w:r>
      <w:r>
        <w:rPr>
          <w:rFonts w:hint="eastAsia" w:asciiTheme="minorEastAsia" w:hAnsiTheme="minorEastAsia"/>
          <w:b/>
          <w:spacing w:val="15"/>
          <w:sz w:val="44"/>
          <w:szCs w:val="44"/>
          <w:lang w:val="en-US" w:eastAsia="zh-CN"/>
        </w:rPr>
        <w:t>二次</w:t>
      </w:r>
      <w:r>
        <w:rPr>
          <w:rFonts w:hint="eastAsia" w:asciiTheme="minorEastAsia" w:hAnsiTheme="minorEastAsia"/>
          <w:b/>
          <w:spacing w:val="15"/>
          <w:sz w:val="44"/>
          <w:szCs w:val="44"/>
          <w:lang w:eastAsia="zh-CN"/>
        </w:rPr>
        <w:t>）</w:t>
      </w:r>
      <w:r>
        <w:rPr>
          <w:rFonts w:hint="eastAsia" w:asciiTheme="minorEastAsia" w:hAnsiTheme="minorEastAsia"/>
          <w:b/>
          <w:spacing w:val="15"/>
          <w:sz w:val="44"/>
          <w:szCs w:val="44"/>
        </w:rPr>
        <w:t>询价文件</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rPr>
      </w:pPr>
      <w:r>
        <w:rPr>
          <w:rFonts w:hint="eastAsia" w:asciiTheme="minorEastAsia" w:hAnsiTheme="minorEastAsia"/>
          <w:spacing w:val="15"/>
          <w:sz w:val="32"/>
          <w:szCs w:val="32"/>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发放日期：2023年</w:t>
      </w:r>
      <w:r>
        <w:rPr>
          <w:rFonts w:hint="eastAsia" w:asciiTheme="minorEastAsia" w:hAnsiTheme="minorEastAsia"/>
          <w:spacing w:val="15"/>
          <w:sz w:val="32"/>
          <w:szCs w:val="32"/>
          <w:lang w:val="en-US" w:eastAsia="zh-CN"/>
        </w:rPr>
        <w:t>4</w:t>
      </w:r>
      <w:r>
        <w:rPr>
          <w:rFonts w:hint="eastAsia" w:asciiTheme="minorEastAsia" w:hAnsiTheme="minorEastAsia"/>
          <w:spacing w:val="15"/>
          <w:sz w:val="32"/>
          <w:szCs w:val="32"/>
        </w:rPr>
        <w:t>月</w:t>
      </w:r>
      <w:r>
        <w:rPr>
          <w:rFonts w:hint="eastAsia" w:asciiTheme="minorEastAsia" w:hAnsiTheme="minorEastAsia"/>
          <w:spacing w:val="15"/>
          <w:sz w:val="32"/>
          <w:szCs w:val="32"/>
          <w:lang w:val="en-US" w:eastAsia="zh-CN"/>
        </w:rPr>
        <w:t>21</w:t>
      </w:r>
      <w:r>
        <w:rPr>
          <w:rFonts w:hint="eastAsia" w:asciiTheme="minorEastAsia" w:hAnsiTheme="minorEastAsia"/>
          <w:spacing w:val="15"/>
          <w:sz w:val="32"/>
          <w:szCs w:val="32"/>
        </w:rPr>
        <w:t>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rPr>
      </w:pPr>
      <w:r>
        <w:rPr>
          <w:rFonts w:hint="eastAsia" w:asciiTheme="minorEastAsia" w:hAnsiTheme="minorEastAsia"/>
          <w:b/>
          <w:spacing w:val="15"/>
          <w:sz w:val="36"/>
          <w:szCs w:val="36"/>
          <w:u w:val="single"/>
          <w:lang w:eastAsia="zh-CN"/>
        </w:rPr>
        <w:t>JDFYCG-2023004扬州市江都妇幼保健院数码局部恒温仪</w:t>
      </w:r>
      <w:r>
        <w:rPr>
          <w:rFonts w:hint="eastAsia" w:asciiTheme="minorEastAsia" w:hAnsiTheme="minorEastAsia"/>
          <w:b/>
          <w:spacing w:val="15"/>
          <w:sz w:val="36"/>
          <w:szCs w:val="36"/>
          <w:u w:val="single"/>
        </w:rPr>
        <w:t>采购项目</w:t>
      </w:r>
      <w:r>
        <w:rPr>
          <w:rFonts w:hint="eastAsia" w:asciiTheme="minorEastAsia" w:hAnsiTheme="minorEastAsia"/>
          <w:b/>
          <w:spacing w:val="15"/>
          <w:sz w:val="36"/>
          <w:szCs w:val="36"/>
          <w:u w:val="single"/>
          <w:lang w:eastAsia="zh-CN"/>
        </w:rPr>
        <w:t>（</w:t>
      </w:r>
      <w:r>
        <w:rPr>
          <w:rFonts w:hint="eastAsia" w:asciiTheme="minorEastAsia" w:hAnsiTheme="minorEastAsia"/>
          <w:b/>
          <w:spacing w:val="15"/>
          <w:sz w:val="36"/>
          <w:szCs w:val="36"/>
          <w:u w:val="single"/>
          <w:lang w:val="en-US" w:eastAsia="zh-CN"/>
        </w:rPr>
        <w:t>二次</w:t>
      </w:r>
      <w:r>
        <w:rPr>
          <w:rFonts w:hint="eastAsia" w:asciiTheme="minorEastAsia" w:hAnsiTheme="minorEastAsia"/>
          <w:b/>
          <w:spacing w:val="15"/>
          <w:sz w:val="36"/>
          <w:szCs w:val="36"/>
          <w:u w:val="single"/>
          <w:lang w:eastAsia="zh-CN"/>
        </w:rPr>
        <w:t>）</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lang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lang w:eastAsia="zh-CN"/>
        </w:rPr>
        <w:t>JDFYCG-2023004</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江苏屸川全项目管理有限公司受扬州市江都妇幼保健院委托需采购</w:t>
      </w:r>
      <w:r>
        <w:rPr>
          <w:rFonts w:hint="eastAsia" w:ascii="宋体" w:hAnsi="宋体" w:eastAsia="宋体" w:cs="Times New Roman"/>
          <w:bCs/>
          <w:sz w:val="24"/>
          <w:szCs w:val="24"/>
          <w:lang w:eastAsia="zh-CN"/>
        </w:rPr>
        <w:t>数码局部恒温仪</w:t>
      </w:r>
      <w:r>
        <w:rPr>
          <w:rFonts w:hint="eastAsia" w:ascii="宋体" w:hAnsi="宋体" w:eastAsia="宋体" w:cs="Times New Roman"/>
          <w:bCs/>
          <w:sz w:val="24"/>
          <w:szCs w:val="24"/>
        </w:rPr>
        <w:t>一台，现欢迎符合相关条件的供应商参加。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ascii="宋体" w:hAnsi="宋体"/>
          <w:bCs/>
          <w:sz w:val="24"/>
          <w:szCs w:val="24"/>
        </w:rPr>
      </w:pPr>
      <w:r>
        <w:rPr>
          <w:rFonts w:hint="eastAsia" w:ascii="宋体" w:hAnsi="宋体"/>
          <w:bCs/>
          <w:sz w:val="24"/>
          <w:szCs w:val="24"/>
        </w:rPr>
        <w:t>2、营业执照（复印件加盖投标人公章）；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3、</w:t>
      </w:r>
      <w:r>
        <w:rPr>
          <w:rFonts w:hint="eastAsia" w:cs="仿宋" w:asciiTheme="minorEastAsia" w:hAnsiTheme="minorEastAsia"/>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hint="eastAsia" w:cs="仿宋" w:asciiTheme="minorEastAsia" w:hAnsiTheme="minorEastAsia"/>
          <w:bCs/>
          <w:sz w:val="24"/>
          <w:szCs w:val="24"/>
        </w:rPr>
        <w:t>；</w:t>
      </w:r>
      <w:r>
        <w:rPr>
          <w:rFonts w:hint="eastAsia" w:ascii="宋体" w:hAnsi="宋体"/>
          <w:bCs/>
          <w:sz w:val="24"/>
          <w:szCs w:val="24"/>
        </w:rPr>
        <w:t>（复印件加盖投标人公章）；</w:t>
      </w:r>
    </w:p>
    <w:p>
      <w:pPr>
        <w:spacing w:line="480" w:lineRule="exact"/>
        <w:ind w:firstLine="480" w:firstLineChars="200"/>
        <w:rPr>
          <w:sz w:val="24"/>
          <w:szCs w:val="24"/>
        </w:rPr>
      </w:pPr>
      <w:r>
        <w:rPr>
          <w:rFonts w:hint="eastAsia" w:ascii="宋体" w:hAnsi="宋体"/>
          <w:bCs/>
          <w:sz w:val="24"/>
          <w:szCs w:val="24"/>
        </w:rPr>
        <w:t>4、</w:t>
      </w:r>
      <w:r>
        <w:rPr>
          <w:rFonts w:hint="eastAsia" w:cs="仿宋" w:asciiTheme="minorEastAsia" w:hAnsiTheme="minorEastAsia"/>
          <w:bCs/>
          <w:sz w:val="24"/>
          <w:szCs w:val="24"/>
        </w:rPr>
        <w:t>投标供应商须具备有效的产品所属类别医疗器械经营备案凭证</w:t>
      </w:r>
      <w:r>
        <w:rPr>
          <w:rFonts w:hint="eastAsia" w:ascii="宋体" w:hAnsi="宋体"/>
          <w:bCs/>
          <w:sz w:val="24"/>
          <w:szCs w:val="24"/>
        </w:rPr>
        <w:t>（复印件加盖投标人公章）；</w:t>
      </w:r>
    </w:p>
    <w:p>
      <w:pPr>
        <w:spacing w:line="480" w:lineRule="exact"/>
        <w:ind w:firstLine="480" w:firstLineChars="200"/>
        <w:rPr>
          <w:rFonts w:hint="eastAsia" w:cs="仿宋" w:asciiTheme="minorEastAsia" w:hAnsiTheme="minorEastAsia"/>
          <w:bCs/>
          <w:sz w:val="24"/>
          <w:szCs w:val="24"/>
          <w:lang w:val="en-US" w:eastAsia="zh-CN"/>
        </w:rPr>
      </w:pPr>
      <w:r>
        <w:rPr>
          <w:rFonts w:hint="eastAsia" w:ascii="宋体" w:hAnsi="宋体"/>
          <w:bCs/>
          <w:sz w:val="24"/>
          <w:szCs w:val="24"/>
          <w:lang w:val="en-US" w:eastAsia="zh-CN"/>
        </w:rPr>
        <w:t>5</w:t>
      </w:r>
      <w:r>
        <w:rPr>
          <w:rFonts w:hint="eastAsia" w:ascii="宋体" w:hAnsi="宋体"/>
          <w:bCs/>
          <w:sz w:val="24"/>
          <w:szCs w:val="24"/>
        </w:rPr>
        <w:t>、</w:t>
      </w:r>
      <w:r>
        <w:rPr>
          <w:rFonts w:hint="eastAsia" w:cs="仿宋" w:asciiTheme="minorEastAsia" w:hAnsiTheme="minorEastAsia"/>
          <w:bCs/>
          <w:sz w:val="24"/>
          <w:szCs w:val="24"/>
          <w:lang w:val="en-US" w:eastAsia="zh-CN"/>
        </w:rPr>
        <w:t>若法定代表人参加投标的，须提供本人身份证复印件(</w:t>
      </w:r>
      <w:r>
        <w:rPr>
          <w:rFonts w:hint="eastAsia" w:ascii="宋体" w:hAnsi="宋体"/>
          <w:bCs/>
          <w:sz w:val="24"/>
          <w:szCs w:val="24"/>
        </w:rPr>
        <w:t>复印件加盖投标人公章</w:t>
      </w:r>
      <w:r>
        <w:rPr>
          <w:rFonts w:hint="eastAsia" w:cs="仿宋" w:asciiTheme="minorEastAsia" w:hAnsiTheme="minorEastAsia"/>
          <w:bCs/>
          <w:sz w:val="24"/>
          <w:szCs w:val="24"/>
          <w:lang w:val="en-US" w:eastAsia="zh-CN"/>
        </w:rPr>
        <w:t>)；若授权代表参加的，须提供</w:t>
      </w:r>
      <w:r>
        <w:rPr>
          <w:rFonts w:hint="eastAsia" w:cs="仿宋" w:asciiTheme="minorEastAsia" w:hAnsiTheme="minorEastAsia"/>
          <w:bCs/>
          <w:sz w:val="24"/>
          <w:szCs w:val="24"/>
        </w:rPr>
        <w:t>有效</w:t>
      </w:r>
      <w:r>
        <w:rPr>
          <w:rFonts w:hint="eastAsia" w:cs="仿宋" w:asciiTheme="minorEastAsia" w:hAnsiTheme="minorEastAsia"/>
          <w:bCs/>
          <w:sz w:val="24"/>
          <w:szCs w:val="24"/>
          <w:lang w:val="en-US" w:eastAsia="zh-CN"/>
        </w:rPr>
        <w:t>的《</w:t>
      </w:r>
      <w:r>
        <w:rPr>
          <w:rFonts w:hint="eastAsia" w:cs="仿宋" w:asciiTheme="minorEastAsia" w:hAnsiTheme="minorEastAsia"/>
          <w:bCs/>
          <w:sz w:val="24"/>
          <w:szCs w:val="24"/>
        </w:rPr>
        <w:t>授权委托书</w:t>
      </w:r>
      <w:r>
        <w:rPr>
          <w:rFonts w:hint="eastAsia" w:cs="仿宋" w:asciiTheme="minorEastAsia" w:hAnsiTheme="minorEastAsia"/>
          <w:bCs/>
          <w:sz w:val="24"/>
          <w:szCs w:val="24"/>
          <w:lang w:val="en-US" w:eastAsia="zh-CN"/>
        </w:rPr>
        <w:t>》（复印件加盖投标人公章）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、授权代表身份证（复印件加盖投标人公章）；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7</w:t>
      </w:r>
      <w:r>
        <w:rPr>
          <w:rFonts w:hint="eastAsia" w:ascii="宋体" w:hAnsi="宋体"/>
          <w:bCs/>
          <w:sz w:val="24"/>
          <w:szCs w:val="24"/>
        </w:rPr>
        <w:t>、投标产品目录（包括产品名称、规格型号、计量单位、生产厂家、产品注册证、注册证有效期等）（复印件加盖投标人公章）；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8</w:t>
      </w:r>
      <w:r>
        <w:rPr>
          <w:rFonts w:hint="eastAsia" w:ascii="宋体" w:hAnsi="宋体"/>
          <w:bCs/>
          <w:sz w:val="24"/>
          <w:szCs w:val="24"/>
        </w:rPr>
        <w:t>、投标人所提供投标产品技术参数满足采购人需求的证明文件（如产品的宣传彩页、白皮书、技术参数说明书等）；</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9</w:t>
      </w:r>
      <w:r>
        <w:rPr>
          <w:rFonts w:hint="eastAsia" w:ascii="宋体" w:hAnsi="宋体"/>
          <w:bCs/>
          <w:sz w:val="24"/>
          <w:szCs w:val="24"/>
        </w:rPr>
        <w:t>、技术参数要求响应偏离表（加盖公章）；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10</w:t>
      </w:r>
      <w:r>
        <w:rPr>
          <w:rFonts w:hint="eastAsia" w:ascii="宋体" w:hAnsi="宋体"/>
          <w:bCs/>
          <w:sz w:val="24"/>
          <w:szCs w:val="24"/>
        </w:rPr>
        <w:t>、承诺书（格式详见附件3，加盖公章）；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1</w:t>
      </w:r>
      <w:r>
        <w:rPr>
          <w:rFonts w:hint="eastAsia" w:ascii="宋体" w:hAnsi="宋体"/>
          <w:bCs/>
          <w:sz w:val="24"/>
          <w:szCs w:val="24"/>
        </w:rPr>
        <w:t>、参加采购活动前3年内在经营活动中没有重大违法记录的书面声明（格式详见附件4，加盖公章）；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2</w:t>
      </w:r>
      <w:r>
        <w:rPr>
          <w:rFonts w:hint="eastAsia" w:ascii="宋体" w:hAnsi="宋体"/>
          <w:bCs/>
          <w:sz w:val="24"/>
          <w:szCs w:val="24"/>
        </w:rPr>
        <w:t>、供应商廉洁自律承诺书（格式详见附件5，加盖公章）。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w:t>
      </w:r>
      <w:r>
        <w:rPr>
          <w:rFonts w:hint="eastAsia" w:ascii="宋体" w:hAnsi="宋体"/>
          <w:b/>
          <w:sz w:val="24"/>
          <w:szCs w:val="24"/>
          <w:lang w:val="en-US" w:eastAsia="zh-CN"/>
        </w:rPr>
        <w:t>玖</w:t>
      </w:r>
      <w:r>
        <w:rPr>
          <w:rFonts w:hint="eastAsia" w:ascii="宋体" w:hAnsi="宋体"/>
          <w:b/>
          <w:sz w:val="24"/>
          <w:szCs w:val="24"/>
        </w:rPr>
        <w:t>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如供应商确定参加投标，请如实填写参与投标确认函，并于2023年</w:t>
      </w:r>
      <w:r>
        <w:rPr>
          <w:rFonts w:hint="eastAsia" w:ascii="宋体" w:hAnsi="宋体"/>
          <w:sz w:val="24"/>
          <w:szCs w:val="24"/>
          <w:lang w:eastAsia="zh-CN"/>
        </w:rPr>
        <w:t>4月</w:t>
      </w:r>
      <w:r>
        <w:rPr>
          <w:rFonts w:hint="eastAsia" w:ascii="宋体" w:hAnsi="宋体"/>
          <w:sz w:val="24"/>
          <w:szCs w:val="24"/>
          <w:lang w:val="en-US" w:eastAsia="zh-CN"/>
        </w:rPr>
        <w:t>24</w:t>
      </w:r>
      <w:r>
        <w:rPr>
          <w:rFonts w:hint="eastAsia" w:ascii="宋体" w:hAnsi="宋体"/>
          <w:sz w:val="24"/>
          <w:szCs w:val="24"/>
          <w:lang w:eastAsia="zh-CN"/>
        </w:rPr>
        <w:t>日</w:t>
      </w:r>
      <w:r>
        <w:rPr>
          <w:rFonts w:hint="eastAsia" w:ascii="宋体" w:hAnsi="宋体"/>
          <w:sz w:val="24"/>
          <w:szCs w:val="24"/>
        </w:rPr>
        <w:t>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w:t>
      </w:r>
      <w:r>
        <w:rPr>
          <w:rFonts w:hint="eastAsia" w:ascii="宋体" w:hAnsi="宋体"/>
          <w:b/>
          <w:sz w:val="24"/>
          <w:szCs w:val="24"/>
        </w:rPr>
        <w:t>本项目投标最高限价</w:t>
      </w:r>
      <w:r>
        <w:rPr>
          <w:rFonts w:hint="eastAsia" w:ascii="宋体" w:hAnsi="宋体"/>
          <w:b/>
          <w:sz w:val="24"/>
          <w:szCs w:val="24"/>
          <w:lang w:eastAsia="zh-CN"/>
        </w:rPr>
        <w:t>9万</w:t>
      </w:r>
      <w:r>
        <w:rPr>
          <w:rFonts w:hint="eastAsia" w:ascii="宋体" w:hAnsi="宋体"/>
          <w:b/>
          <w:sz w:val="24"/>
          <w:szCs w:val="24"/>
        </w:rPr>
        <w:t>元，投标报价高于最高限价的为无效报价。</w:t>
      </w:r>
      <w:r>
        <w:rPr>
          <w:rFonts w:hint="eastAsia" w:ascii="宋体" w:hAnsi="宋体"/>
          <w:sz w:val="24"/>
          <w:szCs w:val="24"/>
        </w:rPr>
        <w:t>（清单及服务要求详见附件）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仿宋_GB2312" w:hAnsi="宋体" w:cs="Arial"/>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sz w:val="24"/>
          <w:szCs w:val="24"/>
        </w:rPr>
      </w:pPr>
      <w:r>
        <w:rPr>
          <w:rFonts w:hint="eastAsia" w:ascii="宋体" w:hAnsi="宋体"/>
          <w:sz w:val="24"/>
          <w:szCs w:val="24"/>
        </w:rPr>
        <w:t>（九）供货期：5日内完成供货并安装成功。免费质保期：</w:t>
      </w:r>
      <w:r>
        <w:rPr>
          <w:rFonts w:hint="eastAsia" w:ascii="宋体" w:hAnsi="宋体"/>
          <w:sz w:val="24"/>
          <w:szCs w:val="24"/>
          <w:lang w:eastAsia="zh-CN"/>
        </w:rPr>
        <w:t>一年</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rPr>
        <w:t>（</w:t>
      </w:r>
      <w:r>
        <w:rPr>
          <w:rFonts w:hint="eastAsia" w:ascii="仿宋_GB2312" w:hAnsi="宋体" w:cs="Arial"/>
          <w:sz w:val="24"/>
          <w:szCs w:val="24"/>
        </w:rPr>
        <w:t>十</w:t>
      </w:r>
      <w:r>
        <w:rPr>
          <w:rFonts w:hint="eastAsia" w:ascii="宋体" w:hAnsi="宋体"/>
          <w:sz w:val="24"/>
          <w:szCs w:val="24"/>
        </w:rPr>
        <w:t>）付款方式：设备安装调试经验收成功后，一年内付清。</w:t>
      </w:r>
    </w:p>
    <w:p>
      <w:pPr>
        <w:spacing w:line="480" w:lineRule="exact"/>
        <w:ind w:firstLine="480" w:firstLineChars="200"/>
        <w:rPr>
          <w:rFonts w:ascii="宋体" w:hAnsi="宋体"/>
          <w:sz w:val="24"/>
          <w:szCs w:val="24"/>
        </w:rPr>
      </w:pPr>
      <w:r>
        <w:rPr>
          <w:rFonts w:hint="eastAsia" w:ascii="宋体" w:hAnsi="宋体"/>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2023年</w:t>
      </w:r>
      <w:r>
        <w:rPr>
          <w:rFonts w:hint="eastAsia" w:cs="Arial" w:asciiTheme="majorEastAsia" w:hAnsiTheme="majorEastAsia" w:eastAsiaTheme="majorEastAsia"/>
          <w:sz w:val="24"/>
          <w:szCs w:val="24"/>
          <w:lang w:eastAsia="zh-CN"/>
        </w:rPr>
        <w:t>4月</w:t>
      </w:r>
      <w:r>
        <w:rPr>
          <w:rFonts w:hint="eastAsia" w:cs="Arial" w:asciiTheme="majorEastAsia" w:hAnsiTheme="majorEastAsia" w:eastAsiaTheme="majorEastAsia"/>
          <w:sz w:val="24"/>
          <w:szCs w:val="24"/>
          <w:lang w:val="en-US" w:eastAsia="zh-CN"/>
        </w:rPr>
        <w:t>25</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w:t>
      </w:r>
      <w:r>
        <w:rPr>
          <w:rFonts w:hint="eastAsia" w:cs="Arial" w:asciiTheme="majorEastAsia" w:hAnsiTheme="majorEastAsia" w:eastAsiaTheme="majorEastAsia"/>
          <w:sz w:val="24"/>
          <w:szCs w:val="24"/>
          <w:lang w:val="en-US" w:eastAsia="zh-CN"/>
        </w:rPr>
        <w:t>4</w:t>
      </w:r>
      <w:r>
        <w:rPr>
          <w:rFonts w:hint="eastAsia" w:cs="Arial" w:asciiTheme="majorEastAsia" w:hAnsiTheme="majorEastAsia" w:eastAsiaTheme="majorEastAsia"/>
          <w:sz w:val="24"/>
          <w:szCs w:val="24"/>
        </w:rPr>
        <w:t>:</w:t>
      </w:r>
      <w:r>
        <w:rPr>
          <w:rFonts w:hint="eastAsia" w:cs="Arial" w:asciiTheme="majorEastAsia" w:hAnsiTheme="majorEastAsia" w:eastAsiaTheme="majorEastAsia"/>
          <w:sz w:val="24"/>
          <w:szCs w:val="24"/>
          <w:lang w:val="en-US" w:eastAsia="zh-CN"/>
        </w:rPr>
        <w:t>0</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投标文件接受截止时间：2023年</w:t>
      </w:r>
      <w:r>
        <w:rPr>
          <w:rFonts w:hint="eastAsia" w:cs="Arial" w:asciiTheme="majorEastAsia" w:hAnsiTheme="majorEastAsia" w:eastAsiaTheme="majorEastAsia"/>
          <w:sz w:val="24"/>
          <w:szCs w:val="24"/>
          <w:lang w:eastAsia="zh-CN"/>
        </w:rPr>
        <w:t>4月</w:t>
      </w:r>
      <w:r>
        <w:rPr>
          <w:rFonts w:hint="eastAsia" w:cs="Arial" w:asciiTheme="majorEastAsia" w:hAnsiTheme="majorEastAsia" w:eastAsiaTheme="majorEastAsia"/>
          <w:sz w:val="24"/>
          <w:szCs w:val="24"/>
          <w:lang w:val="en-US" w:eastAsia="zh-CN"/>
        </w:rPr>
        <w:t>25</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：江苏屸川全项目管理有限公司（江都区阳光花苑南区（西门）综合楼二楼开标室）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开标时间：2023年</w:t>
      </w:r>
      <w:r>
        <w:rPr>
          <w:rFonts w:hint="eastAsia" w:cs="Arial" w:asciiTheme="majorEastAsia" w:hAnsiTheme="majorEastAsia" w:eastAsiaTheme="majorEastAsia"/>
          <w:sz w:val="24"/>
          <w:szCs w:val="24"/>
          <w:lang w:eastAsia="zh-CN"/>
        </w:rPr>
        <w:t>4月</w:t>
      </w:r>
      <w:r>
        <w:rPr>
          <w:rFonts w:hint="eastAsia" w:cs="Arial" w:asciiTheme="majorEastAsia" w:hAnsiTheme="majorEastAsia" w:eastAsiaTheme="majorEastAsia"/>
          <w:sz w:val="24"/>
          <w:szCs w:val="24"/>
          <w:lang w:val="en-US" w:eastAsia="zh-CN"/>
        </w:rPr>
        <w:t>25</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下午14:</w:t>
      </w:r>
      <w:r>
        <w:rPr>
          <w:rFonts w:hint="eastAsia" w:cs="Arial" w:asciiTheme="majorEastAsia" w:hAnsiTheme="majorEastAsia" w:eastAsiaTheme="majorEastAsia"/>
          <w:sz w:val="24"/>
          <w:szCs w:val="24"/>
          <w:lang w:val="en-US" w:eastAsia="zh-CN"/>
        </w:rPr>
        <w:t>3</w:t>
      </w:r>
      <w:r>
        <w:rPr>
          <w:rFonts w:hint="eastAsia" w:cs="Arial" w:asciiTheme="majorEastAsia" w:hAnsiTheme="majorEastAsia" w:eastAsiaTheme="majorEastAsia"/>
          <w:sz w:val="24"/>
          <w:szCs w:val="24"/>
        </w:rPr>
        <w:t>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（十三）本公告期限：自询价公告在“扬州市江都妇幼保健院”网站发布之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采购人联系人：巫先生  13625208088                 采购代理机构联系人：郭女士 0514-86663195</w:t>
      </w:r>
      <w:r>
        <w:rPr>
          <w:rFonts w:hint="eastAsia" w:ascii="仿宋_GB2312" w:hAnsi="宋体" w:cs="Arial"/>
          <w:sz w:val="24"/>
          <w:szCs w:val="24"/>
        </w:rPr>
        <w:t>　</w:t>
      </w:r>
    </w:p>
    <w:p>
      <w:pPr>
        <w:spacing w:line="480" w:lineRule="exact"/>
        <w:ind w:firstLine="480" w:firstLineChars="200"/>
        <w:jc w:val="center"/>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采购代理机构：江苏屸川全项目管理有限公司</w:t>
      </w:r>
    </w:p>
    <w:p>
      <w:pPr>
        <w:spacing w:line="480" w:lineRule="exact"/>
        <w:ind w:firstLine="480" w:firstLineChars="200"/>
        <w:jc w:val="right"/>
        <w:rPr>
          <w:rFonts w:ascii="宋体" w:hAnsi="宋体"/>
          <w:sz w:val="24"/>
          <w:szCs w:val="24"/>
        </w:rPr>
      </w:pPr>
      <w:r>
        <w:rPr>
          <w:rFonts w:hint="eastAsia" w:ascii="宋体" w:hAnsi="宋体"/>
          <w:sz w:val="24"/>
          <w:szCs w:val="24"/>
        </w:rPr>
        <w:t>2023年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21</w:t>
      </w:r>
      <w:r>
        <w:rPr>
          <w:rFonts w:hint="eastAsia" w:ascii="宋体" w:hAnsi="宋体"/>
          <w:sz w:val="24"/>
          <w:szCs w:val="24"/>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项目名称：</w:t>
            </w:r>
            <w:r>
              <w:rPr>
                <w:rFonts w:hint="eastAsia" w:cs="仿宋" w:asciiTheme="majorEastAsia" w:hAnsiTheme="majorEastAsia" w:eastAsiaTheme="majorEastAsia"/>
                <w:bCs/>
                <w:lang w:eastAsia="zh-CN"/>
              </w:rPr>
              <w:t>扬州市江都妇幼保健院数码局部恒温仪</w:t>
            </w:r>
            <w:r>
              <w:rPr>
                <w:rFonts w:hint="eastAsia" w:cs="仿宋" w:asciiTheme="majorEastAsia" w:hAnsiTheme="majorEastAsia" w:eastAsiaTheme="majorEastAsia"/>
                <w:bCs/>
              </w:rPr>
              <w:t>采购项目</w:t>
            </w:r>
          </w:p>
          <w:p>
            <w:pPr>
              <w:spacing w:line="48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w:t>
            </w:r>
            <w:r>
              <w:rPr>
                <w:rFonts w:hint="eastAsia" w:cs="仿宋" w:asciiTheme="majorEastAsia" w:hAnsiTheme="majorEastAsia" w:eastAsiaTheme="majorEastAsia"/>
                <w:bCs/>
                <w:lang w:eastAsia="zh-CN"/>
              </w:rPr>
              <w:t>JDFYCG-2023004</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rPr>
            </w:pPr>
            <w:r>
              <w:rPr>
                <w:rFonts w:hint="eastAsia" w:asciiTheme="majorEastAsia" w:hAnsiTheme="majorEastAsia" w:eastAsiaTheme="majorEastAsia"/>
              </w:rPr>
              <w:t>供应商资格要求：</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2、</w:t>
            </w:r>
            <w:r>
              <w:rPr>
                <w:rFonts w:hint="eastAsia" w:ascii="宋体" w:hAnsi="宋体"/>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pPr>
              <w:spacing w:line="360" w:lineRule="auto"/>
              <w:rPr>
                <w:rFonts w:asciiTheme="majorEastAsia" w:hAnsiTheme="majorEastAsia" w:eastAsiaTheme="majorEastAsia"/>
                <w:bCs/>
              </w:rPr>
            </w:pPr>
            <w:r>
              <w:rPr>
                <w:rFonts w:hint="eastAsia" w:asciiTheme="majorEastAsia" w:hAnsiTheme="majorEastAsia" w:eastAsiaTheme="majorEastAsia"/>
                <w:bCs/>
              </w:rPr>
              <w:t>3、投标供应商所投产品应具有有效的医疗器械注册证；</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、本项目不接受联合体投标；</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lang w:val="en-US" w:eastAsia="zh-CN"/>
              </w:rPr>
              <w:t>5</w:t>
            </w:r>
            <w:r>
              <w:rPr>
                <w:rFonts w:hint="eastAsia" w:cs="仿宋" w:asciiTheme="majorEastAsia" w:hAnsiTheme="majorEastAsia" w:eastAsiaTheme="majorEastAsia"/>
                <w:bCs/>
              </w:rPr>
              <w:t>、本项目不接受进口产品投标。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投标文件开始接收时间：2023年</w:t>
            </w:r>
            <w:r>
              <w:rPr>
                <w:rFonts w:hint="eastAsia" w:cs="仿宋" w:asciiTheme="majorEastAsia" w:hAnsiTheme="majorEastAsia" w:eastAsiaTheme="majorEastAsia"/>
                <w:bCs/>
                <w:lang w:eastAsia="zh-CN"/>
              </w:rPr>
              <w:t>4月</w:t>
            </w:r>
            <w:r>
              <w:rPr>
                <w:rFonts w:hint="eastAsia" w:cs="仿宋" w:asciiTheme="majorEastAsia" w:hAnsiTheme="majorEastAsia" w:eastAsiaTheme="majorEastAsia"/>
                <w:bCs/>
                <w:lang w:val="en-US" w:eastAsia="zh-CN"/>
              </w:rPr>
              <w:t>25</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w:t>
            </w:r>
            <w:r>
              <w:rPr>
                <w:rFonts w:hint="eastAsia" w:cs="仿宋" w:asciiTheme="majorEastAsia" w:hAnsiTheme="majorEastAsia" w:eastAsiaTheme="majorEastAsia"/>
                <w:bCs/>
                <w:lang w:val="en-US" w:eastAsia="zh-CN"/>
              </w:rPr>
              <w:t>4</w:t>
            </w:r>
            <w:r>
              <w:rPr>
                <w:rFonts w:hint="eastAsia" w:cs="仿宋" w:asciiTheme="majorEastAsia" w:hAnsiTheme="majorEastAsia" w:eastAsiaTheme="majorEastAsia"/>
                <w:bCs/>
              </w:rPr>
              <w:t>:</w:t>
            </w:r>
            <w:r>
              <w:rPr>
                <w:rFonts w:hint="eastAsia" w:cs="仿宋" w:asciiTheme="majorEastAsia" w:hAnsiTheme="majorEastAsia" w:eastAsiaTheme="majorEastAsia"/>
                <w:bCs/>
                <w:lang w:val="en-US" w:eastAsia="zh-CN"/>
              </w:rPr>
              <w:t>0</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投标文件接受截止时间：2023年</w:t>
            </w:r>
            <w:r>
              <w:rPr>
                <w:rFonts w:hint="eastAsia" w:cs="仿宋" w:asciiTheme="majorEastAsia" w:hAnsiTheme="majorEastAsia" w:eastAsiaTheme="majorEastAsia"/>
                <w:bCs/>
                <w:lang w:eastAsia="zh-CN"/>
              </w:rPr>
              <w:t>4月</w:t>
            </w:r>
            <w:r>
              <w:rPr>
                <w:rFonts w:hint="eastAsia" w:cs="仿宋" w:asciiTheme="majorEastAsia" w:hAnsiTheme="majorEastAsia" w:eastAsiaTheme="majorEastAsia"/>
                <w:bCs/>
                <w:lang w:val="en-US" w:eastAsia="zh-CN"/>
              </w:rPr>
              <w:t>25</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开标时间：2023年</w:t>
            </w:r>
            <w:r>
              <w:rPr>
                <w:rFonts w:hint="eastAsia" w:cs="仿宋" w:asciiTheme="majorEastAsia" w:hAnsiTheme="majorEastAsia" w:eastAsiaTheme="majorEastAsia"/>
                <w:bCs/>
                <w:lang w:eastAsia="zh-CN"/>
              </w:rPr>
              <w:t>4月</w:t>
            </w:r>
            <w:r>
              <w:rPr>
                <w:rFonts w:hint="eastAsia" w:cs="仿宋" w:asciiTheme="majorEastAsia" w:hAnsiTheme="majorEastAsia" w:eastAsiaTheme="majorEastAsia"/>
                <w:bCs/>
                <w:lang w:val="en-US" w:eastAsia="zh-CN"/>
              </w:rPr>
              <w:t>25</w:t>
            </w:r>
            <w:bookmarkStart w:id="2" w:name="_GoBack"/>
            <w:bookmarkEnd w:id="2"/>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下午14:</w:t>
            </w:r>
            <w:r>
              <w:rPr>
                <w:rFonts w:hint="eastAsia" w:cs="仿宋" w:asciiTheme="majorEastAsia" w:hAnsiTheme="majorEastAsia" w:eastAsiaTheme="majorEastAsia"/>
                <w:bCs/>
                <w:lang w:val="en-US" w:eastAsia="zh-CN"/>
              </w:rPr>
              <w:t>3</w:t>
            </w:r>
            <w:r>
              <w:rPr>
                <w:rFonts w:hint="eastAsia" w:cs="仿宋" w:asciiTheme="majorEastAsia" w:hAnsiTheme="majorEastAsia" w:eastAsiaTheme="majorEastAsia"/>
                <w:bCs/>
              </w:rPr>
              <w:t>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投标文件递交地点：江苏屸川全项目管理有限公司二楼开标室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投标文件递交地址：江都区阳光花苑南区（西门）综合楼二楼开标室</w:t>
            </w:r>
          </w:p>
          <w:p>
            <w:pPr>
              <w:spacing w:line="48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购代理机构：郭女士，联系方式：0514-86663195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rPr>
            </w:pPr>
            <w:r>
              <w:rPr>
                <w:rFonts w:hint="eastAsia" w:cs="仿宋" w:asciiTheme="majorEastAsia" w:hAnsiTheme="majorEastAsia" w:eastAsiaTheme="majorEastAsia"/>
                <w:b/>
                <w:bCs/>
              </w:rPr>
              <w:t>投标保证金：人民币</w:t>
            </w:r>
            <w:r>
              <w:rPr>
                <w:rFonts w:hint="eastAsia" w:cs="仿宋" w:asciiTheme="majorEastAsia" w:hAnsiTheme="majorEastAsia" w:eastAsiaTheme="majorEastAsia"/>
                <w:b/>
                <w:bCs/>
                <w:lang w:val="en-US" w:eastAsia="zh-CN"/>
              </w:rPr>
              <w:t>玖</w:t>
            </w:r>
            <w:r>
              <w:rPr>
                <w:rFonts w:hint="eastAsia" w:cs="仿宋" w:asciiTheme="majorEastAsia" w:hAnsiTheme="majorEastAsia" w:eastAsiaTheme="majorEastAsia"/>
                <w:b/>
                <w:bCs/>
              </w:rPr>
              <w:t>佰元整。</w:t>
            </w:r>
          </w:p>
          <w:p>
            <w:pPr>
              <w:spacing w:line="48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rPr>
            </w:pPr>
            <w:r>
              <w:rPr>
                <w:rFonts w:hint="eastAsia" w:asciiTheme="majorEastAsia" w:hAnsiTheme="majorEastAsia" w:eastAsiaTheme="majorEastAsia"/>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本项目按发改价[2011]534号文件支付招标代理费用，由成交供应商在领取成交通知书前一次性支付给招标代理机构。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8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成交通知书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3260"/>
        <w:gridCol w:w="2628"/>
        <w:gridCol w:w="1418"/>
        <w:gridCol w:w="1559"/>
        <w:gridCol w:w="1417"/>
        <w:gridCol w:w="1418"/>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62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详细服务要求</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数量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合价（元）</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0"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eastAsiaTheme="minorEastAsia"/>
                <w:kern w:val="0"/>
                <w:szCs w:val="21"/>
                <w:lang w:eastAsia="zh-CN"/>
              </w:rPr>
            </w:pPr>
            <w:r>
              <w:rPr>
                <w:rFonts w:hint="eastAsia" w:ascii="宋体" w:hAnsi="宋体" w:cs="宋体"/>
                <w:kern w:val="0"/>
                <w:szCs w:val="21"/>
                <w:lang w:eastAsia="zh-CN"/>
              </w:rPr>
              <w:t>数码局部恒温仪</w:t>
            </w:r>
          </w:p>
        </w:tc>
        <w:tc>
          <w:tcPr>
            <w:tcW w:w="262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81"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r>
              <w:rPr>
                <w:rFonts w:hint="eastAsia" w:ascii="宋体" w:hAnsi="宋体" w:cs="宋体"/>
                <w:szCs w:val="21"/>
              </w:rPr>
              <w:t>供货期：</w:t>
            </w:r>
            <w:r>
              <w:rPr>
                <w:rFonts w:hint="eastAsia" w:ascii="宋体" w:hAnsi="宋体" w:eastAsia="宋体" w:cs="宋体"/>
                <w:szCs w:val="21"/>
              </w:rPr>
              <w:t>5日内完成供货并安装成功</w:t>
            </w:r>
            <w:r>
              <w:rPr>
                <w:rFonts w:hint="eastAsia" w:ascii="宋体" w:hAnsi="宋体" w:cs="宋体"/>
                <w:szCs w:val="21"/>
              </w:rPr>
              <w:t>。</w:t>
            </w:r>
          </w:p>
        </w:tc>
      </w:tr>
      <w:tr>
        <w:tblPrEx>
          <w:tblCellMar>
            <w:top w:w="0" w:type="dxa"/>
            <w:left w:w="108" w:type="dxa"/>
            <w:bottom w:w="0" w:type="dxa"/>
            <w:right w:w="108" w:type="dxa"/>
          </w:tblCellMar>
        </w:tblPrEx>
        <w:trPr>
          <w:trHeight w:val="2260"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pPr>
            <w:r>
              <w:rPr>
                <w:rFonts w:hint="eastAsia"/>
              </w:rPr>
              <w:t>备注：</w:t>
            </w:r>
          </w:p>
          <w:p>
            <w:pPr>
              <w:spacing w:line="380" w:lineRule="exact"/>
            </w:pPr>
            <w:r>
              <w:t>1</w:t>
            </w:r>
            <w:r>
              <w:rPr>
                <w:rFonts w:hint="eastAsia"/>
              </w:rPr>
              <w:t>、符合招标公告要求的生产厂商或经销商，按公告要求提供证明材料原件。</w:t>
            </w:r>
          </w:p>
          <w:p>
            <w:pPr>
              <w:spacing w:line="380" w:lineRule="exact"/>
            </w:pPr>
            <w:r>
              <w:t>2</w:t>
            </w:r>
            <w:r>
              <w:rPr>
                <w:rFonts w:hint="eastAsia"/>
              </w:rPr>
              <w:t>、投标报价应为完成本次采购与之相关所需的全部费用，包括但不限于：设备</w:t>
            </w:r>
            <w:r>
              <w:t>-</w:t>
            </w:r>
            <w:r>
              <w:rPr>
                <w:rFonts w:hint="eastAsia"/>
              </w:rPr>
              <w:t>运输</w:t>
            </w:r>
            <w:r>
              <w:t>-</w:t>
            </w:r>
            <w:r>
              <w:rPr>
                <w:rFonts w:hint="eastAsia"/>
              </w:rPr>
              <w:t>保险</w:t>
            </w:r>
            <w:r>
              <w:t>-</w:t>
            </w:r>
            <w:r>
              <w:rPr>
                <w:rFonts w:hint="eastAsia"/>
              </w:rPr>
              <w:t>安装</w:t>
            </w:r>
            <w:r>
              <w:t>-</w:t>
            </w:r>
            <w:r>
              <w:rPr>
                <w:rFonts w:hint="eastAsia"/>
              </w:rPr>
              <w:t>调试</w:t>
            </w:r>
            <w:r>
              <w:t>-</w:t>
            </w:r>
            <w:r>
              <w:rPr>
                <w:rFonts w:hint="eastAsia"/>
              </w:rPr>
              <w:t>售后服务</w:t>
            </w:r>
            <w:r>
              <w:t>-</w:t>
            </w:r>
            <w:r>
              <w:rPr>
                <w:rFonts w:hint="eastAsia"/>
              </w:rPr>
              <w:t>税金等费用。</w:t>
            </w:r>
          </w:p>
          <w:p>
            <w:pPr>
              <w:spacing w:line="380" w:lineRule="exact"/>
            </w:pPr>
            <w:r>
              <w:t>3</w:t>
            </w:r>
            <w:r>
              <w:rPr>
                <w:rFonts w:hint="eastAsia"/>
              </w:rPr>
              <w:t>、投标人所供产品及配件须符合国家相应的有关标准、规范和要求。</w:t>
            </w:r>
          </w:p>
          <w:p>
            <w:pPr>
              <w:spacing w:line="380" w:lineRule="exact"/>
              <w:rPr>
                <w:lang w:eastAsia="zh-CN"/>
              </w:rPr>
            </w:pPr>
            <w:r>
              <w:rPr>
                <w:rFonts w:hint="eastAsia"/>
              </w:rPr>
              <w:t>4、免费质保期：</w:t>
            </w:r>
            <w:r>
              <w:rPr>
                <w:rFonts w:hint="eastAsia"/>
                <w:lang w:eastAsia="zh-CN"/>
              </w:rPr>
              <w:t>一年</w:t>
            </w:r>
            <w:r>
              <w:rPr>
                <w:rFonts w:hint="eastAsia"/>
              </w:rPr>
              <w:t>。</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bookmarkStart w:id="1" w:name="_Toc502071767"/>
    </w:p>
    <w:bookmarkEnd w:id="1"/>
    <w:p>
      <w:pPr>
        <w:jc w:val="center"/>
        <w:rPr>
          <w:b/>
          <w:bCs/>
          <w:sz w:val="32"/>
          <w:szCs w:val="32"/>
        </w:rPr>
      </w:pPr>
      <w:r>
        <w:rPr>
          <w:rFonts w:hint="eastAsia"/>
          <w:b/>
          <w:bCs/>
          <w:sz w:val="32"/>
          <w:szCs w:val="32"/>
          <w:lang w:eastAsia="zh-CN"/>
        </w:rPr>
        <w:t>数码局部恒温仪</w:t>
      </w:r>
      <w:r>
        <w:rPr>
          <w:rFonts w:hint="eastAsia"/>
          <w:b/>
          <w:bCs/>
          <w:sz w:val="32"/>
          <w:szCs w:val="32"/>
        </w:rPr>
        <w:t>技术参数</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采用以“帕尔贴效应”为基础的恒温冷疗技术；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采用三水位自测制冷技术；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自带360°电子式倾倒防护装置；</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能同时治疗四个部位；</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采用单点温测恒温控制技术；</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输出温度17-40°C恒温可调；</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带循环系统自动清洗功能；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带影音播放系统；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带12寸液晶影音显示屏；</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带制冷介质加注功能，排空功能及报警功能；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配备智能检测、故障自动分析和判别功能；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自带声、光、文字显示三种异常提示功能；</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采用薄膜按键输入系统；</w:t>
      </w:r>
    </w:p>
    <w:p>
      <w:pPr>
        <w:numPr>
          <w:ilvl w:val="0"/>
          <w:numId w:val="1"/>
        </w:numPr>
        <w:spacing w:line="360" w:lineRule="auto"/>
        <w:jc w:val="both"/>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一体成型手推移动机身；</w:t>
      </w:r>
    </w:p>
    <w:p>
      <w:pPr>
        <w:widowControl/>
        <w:spacing w:line="360" w:lineRule="auto"/>
        <w:ind w:firstLine="440" w:firstLineChars="200"/>
        <w:jc w:val="left"/>
        <w:rPr>
          <w:rFonts w:ascii="宋体" w:hAnsi="宋体" w:cs="宋体"/>
          <w:sz w:val="22"/>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pStyle w:val="16"/>
        <w:spacing w:line="360" w:lineRule="auto"/>
        <w:ind w:firstLine="0"/>
        <w:jc w:val="left"/>
        <w:rPr>
          <w:rFonts w:cs="仿宋" w:asciiTheme="majorEastAsia" w:hAnsiTheme="majorEastAsia" w:eastAsiaTheme="majorEastAsia"/>
          <w:b/>
          <w:bCs/>
          <w:spacing w:val="15"/>
          <w:sz w:val="30"/>
          <w:szCs w:val="30"/>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3"/>
        <w:spacing w:line="432" w:lineRule="auto"/>
        <w:ind w:firstLine="680" w:firstLineChars="200"/>
        <w:contextualSpacing/>
        <w:rPr>
          <w:sz w:val="34"/>
        </w:rPr>
      </w:pPr>
    </w:p>
    <w:p>
      <w:pPr>
        <w:pStyle w:val="3"/>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3"/>
        <w:spacing w:line="360" w:lineRule="auto"/>
        <w:ind w:firstLine="420" w:firstLineChars="200"/>
        <w:contextualSpacing/>
      </w:pPr>
      <w:r>
        <w:rPr>
          <w:rFonts w:hint="eastAsia"/>
        </w:rPr>
        <w:t>特此证明。</w:t>
      </w:r>
    </w:p>
    <w:p>
      <w:pPr>
        <w:pStyle w:val="3"/>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4410" w:firstLineChars="2100"/>
        <w:rPr>
          <w:rFonts w:ascii="宋体" w:hAnsi="宋体"/>
          <w:szCs w:val="21"/>
          <w:u w:val="single"/>
        </w:rPr>
      </w:pPr>
      <w:r>
        <w:rPr>
          <w:rFonts w:hint="eastAsia" w:ascii="宋体" w:hAnsi="宋体"/>
          <w:szCs w:val="21"/>
        </w:rPr>
        <w:t xml:space="preserve">法定代表人签字: </w:t>
      </w:r>
    </w:p>
    <w:p>
      <w:pPr>
        <w:pStyle w:val="3"/>
        <w:tabs>
          <w:tab w:val="left" w:pos="3655"/>
          <w:tab w:val="left" w:pos="6345"/>
        </w:tabs>
        <w:spacing w:line="360" w:lineRule="auto"/>
        <w:ind w:right="480" w:firstLine="4410" w:firstLineChars="2100"/>
        <w:contextualSpacing/>
      </w:pPr>
      <w:r>
        <w:rPr>
          <w:rFonts w:hint="eastAsia"/>
        </w:rPr>
        <w:t>投标供应商：（盖章）</w:t>
      </w:r>
    </w:p>
    <w:p>
      <w:pPr>
        <w:pStyle w:val="3"/>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8"/>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6"/>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6"/>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6"/>
        <w:ind w:firstLine="0"/>
        <w:jc w:val="center"/>
        <w:rPr>
          <w:rFonts w:ascii="宋体"/>
          <w:b/>
          <w:kern w:val="44"/>
          <w:sz w:val="24"/>
          <w:szCs w:val="24"/>
        </w:rPr>
      </w:pPr>
    </w:p>
    <w:p>
      <w:pPr>
        <w:pStyle w:val="16"/>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6"/>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6"/>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16"/>
        <w:spacing w:line="360" w:lineRule="auto"/>
        <w:ind w:firstLine="480" w:firstLineChars="200"/>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p>
    <w:p>
      <w:pPr>
        <w:pStyle w:val="16"/>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16"/>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6"/>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16"/>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5"/>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9"/>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9"/>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9"/>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9"/>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30B42"/>
    <w:multiLevelType w:val="singleLevel"/>
    <w:tmpl w:val="CB530B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002EB2"/>
    <w:rsid w:val="03A964DC"/>
    <w:rsid w:val="03AD764F"/>
    <w:rsid w:val="04F80D9E"/>
    <w:rsid w:val="04FE4606"/>
    <w:rsid w:val="069A5C9E"/>
    <w:rsid w:val="06AC1E40"/>
    <w:rsid w:val="06B807E5"/>
    <w:rsid w:val="0750482F"/>
    <w:rsid w:val="078B414B"/>
    <w:rsid w:val="080D4B60"/>
    <w:rsid w:val="08D86F1C"/>
    <w:rsid w:val="094E3039"/>
    <w:rsid w:val="095764B1"/>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EB7D16"/>
    <w:rsid w:val="150C1603"/>
    <w:rsid w:val="155E69FB"/>
    <w:rsid w:val="15B54EC8"/>
    <w:rsid w:val="172B40D3"/>
    <w:rsid w:val="183D3240"/>
    <w:rsid w:val="1853036D"/>
    <w:rsid w:val="18C474BD"/>
    <w:rsid w:val="194523AC"/>
    <w:rsid w:val="1ABA2925"/>
    <w:rsid w:val="1AC35C7E"/>
    <w:rsid w:val="1B506DE6"/>
    <w:rsid w:val="1B7A3E63"/>
    <w:rsid w:val="1B9C0B03"/>
    <w:rsid w:val="1BF14125"/>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675768"/>
    <w:rsid w:val="2B312790"/>
    <w:rsid w:val="2D3C65BD"/>
    <w:rsid w:val="2E0D016A"/>
    <w:rsid w:val="2E555FE9"/>
    <w:rsid w:val="2E5F7614"/>
    <w:rsid w:val="2E9B7447"/>
    <w:rsid w:val="2F6B1FE9"/>
    <w:rsid w:val="2F9F3433"/>
    <w:rsid w:val="303B7C0D"/>
    <w:rsid w:val="31164F5F"/>
    <w:rsid w:val="31440D43"/>
    <w:rsid w:val="31D14A2C"/>
    <w:rsid w:val="332C1A8F"/>
    <w:rsid w:val="33A07D76"/>
    <w:rsid w:val="342235BE"/>
    <w:rsid w:val="360D6299"/>
    <w:rsid w:val="36C62C57"/>
    <w:rsid w:val="36D52B69"/>
    <w:rsid w:val="376D2DA2"/>
    <w:rsid w:val="381B0A50"/>
    <w:rsid w:val="387719FE"/>
    <w:rsid w:val="3882287D"/>
    <w:rsid w:val="38C5230C"/>
    <w:rsid w:val="396B1563"/>
    <w:rsid w:val="398720B6"/>
    <w:rsid w:val="3AC30F2B"/>
    <w:rsid w:val="3B3E6803"/>
    <w:rsid w:val="3B4A33FA"/>
    <w:rsid w:val="3B781D15"/>
    <w:rsid w:val="3BA6175F"/>
    <w:rsid w:val="3C291261"/>
    <w:rsid w:val="3C35065C"/>
    <w:rsid w:val="3E194C23"/>
    <w:rsid w:val="3E4B3711"/>
    <w:rsid w:val="3E5F540E"/>
    <w:rsid w:val="3E693B97"/>
    <w:rsid w:val="413761CE"/>
    <w:rsid w:val="41EA3241"/>
    <w:rsid w:val="42014351"/>
    <w:rsid w:val="42DE478A"/>
    <w:rsid w:val="42DE4EC8"/>
    <w:rsid w:val="44EC107E"/>
    <w:rsid w:val="45F8417E"/>
    <w:rsid w:val="46752C96"/>
    <w:rsid w:val="4686614A"/>
    <w:rsid w:val="476B4C6A"/>
    <w:rsid w:val="47E96E0A"/>
    <w:rsid w:val="48D36674"/>
    <w:rsid w:val="49373210"/>
    <w:rsid w:val="4A1D0657"/>
    <w:rsid w:val="4AA91EEB"/>
    <w:rsid w:val="4ADF590D"/>
    <w:rsid w:val="4B005883"/>
    <w:rsid w:val="4BFE0FCF"/>
    <w:rsid w:val="4C06511B"/>
    <w:rsid w:val="4D292997"/>
    <w:rsid w:val="4E1A50C0"/>
    <w:rsid w:val="4E3C6EC1"/>
    <w:rsid w:val="4E497E8D"/>
    <w:rsid w:val="4E64392A"/>
    <w:rsid w:val="4F0F2539"/>
    <w:rsid w:val="4F600565"/>
    <w:rsid w:val="4FB76E58"/>
    <w:rsid w:val="50D47596"/>
    <w:rsid w:val="51624BA2"/>
    <w:rsid w:val="52CC2C1B"/>
    <w:rsid w:val="53603363"/>
    <w:rsid w:val="54CA271A"/>
    <w:rsid w:val="55DB1F32"/>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DBC595B"/>
    <w:rsid w:val="5F27754A"/>
    <w:rsid w:val="5F2C67EF"/>
    <w:rsid w:val="601F2AA0"/>
    <w:rsid w:val="605E58D0"/>
    <w:rsid w:val="62126170"/>
    <w:rsid w:val="62404C02"/>
    <w:rsid w:val="62CD0F5A"/>
    <w:rsid w:val="64875FFA"/>
    <w:rsid w:val="64D83A6B"/>
    <w:rsid w:val="65146AD1"/>
    <w:rsid w:val="653738A2"/>
    <w:rsid w:val="65385EEE"/>
    <w:rsid w:val="65793D39"/>
    <w:rsid w:val="65FA7647"/>
    <w:rsid w:val="67775EE8"/>
    <w:rsid w:val="679F2254"/>
    <w:rsid w:val="67DA14DE"/>
    <w:rsid w:val="68006042"/>
    <w:rsid w:val="68715CE9"/>
    <w:rsid w:val="6888718C"/>
    <w:rsid w:val="69342E70"/>
    <w:rsid w:val="694A110D"/>
    <w:rsid w:val="69D34437"/>
    <w:rsid w:val="69F456A1"/>
    <w:rsid w:val="6A350C4E"/>
    <w:rsid w:val="6A4B0471"/>
    <w:rsid w:val="6A4B4337"/>
    <w:rsid w:val="6B060EAD"/>
    <w:rsid w:val="6B0F5943"/>
    <w:rsid w:val="6B453652"/>
    <w:rsid w:val="6B730FCE"/>
    <w:rsid w:val="6BA20565"/>
    <w:rsid w:val="6C1A459F"/>
    <w:rsid w:val="6D361187"/>
    <w:rsid w:val="6E2B2A93"/>
    <w:rsid w:val="6E775CD9"/>
    <w:rsid w:val="6ECA5AD3"/>
    <w:rsid w:val="6F623AD7"/>
    <w:rsid w:val="6FBB05B4"/>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704729E"/>
    <w:rsid w:val="77B57CE6"/>
    <w:rsid w:val="782347DB"/>
    <w:rsid w:val="78540EB8"/>
    <w:rsid w:val="789F7357"/>
    <w:rsid w:val="792D7AB2"/>
    <w:rsid w:val="795A422D"/>
    <w:rsid w:val="79F226B7"/>
    <w:rsid w:val="7A0D5EC0"/>
    <w:rsid w:val="7A677470"/>
    <w:rsid w:val="7A781B2D"/>
    <w:rsid w:val="7ACE5434"/>
    <w:rsid w:val="7AE10C43"/>
    <w:rsid w:val="7B494559"/>
    <w:rsid w:val="7BB763C6"/>
    <w:rsid w:val="7C064FD8"/>
    <w:rsid w:val="7C2F5925"/>
    <w:rsid w:val="7C515639"/>
    <w:rsid w:val="7CB73744"/>
    <w:rsid w:val="7D0A5F6A"/>
    <w:rsid w:val="7D692638"/>
    <w:rsid w:val="7E1F4D00"/>
    <w:rsid w:val="7E6717D0"/>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6">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9">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11">
    <w:name w:val="heading 7"/>
    <w:basedOn w:val="8"/>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2">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3">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3">
    <w:name w:val="Body Text"/>
    <w:basedOn w:val="1"/>
    <w:link w:val="66"/>
    <w:unhideWhenUsed/>
    <w:qFormat/>
    <w:uiPriority w:val="99"/>
    <w:pPr>
      <w:spacing w:after="120"/>
    </w:pPr>
  </w:style>
  <w:style w:type="paragraph" w:styleId="4">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4">
    <w:name w:val="toc 7"/>
    <w:basedOn w:val="1"/>
    <w:next w:val="1"/>
    <w:qFormat/>
    <w:uiPriority w:val="39"/>
    <w:pPr>
      <w:ind w:left="1260"/>
      <w:jc w:val="left"/>
    </w:pPr>
    <w:rPr>
      <w:rFonts w:ascii="Times New Roman" w:hAnsi="Times New Roman" w:eastAsia="宋体" w:cs="Times New Roman"/>
      <w:szCs w:val="20"/>
    </w:rPr>
  </w:style>
  <w:style w:type="paragraph" w:styleId="15">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6">
    <w:name w:val="Normal Indent"/>
    <w:basedOn w:val="1"/>
    <w:qFormat/>
    <w:uiPriority w:val="0"/>
    <w:pPr>
      <w:ind w:firstLine="420"/>
    </w:pPr>
    <w:rPr>
      <w:rFonts w:ascii="Times New Roman" w:hAnsi="Times New Roman" w:eastAsia="宋体" w:cs="Times New Roman"/>
      <w:kern w:val="0"/>
      <w:sz w:val="20"/>
      <w:szCs w:val="20"/>
    </w:rPr>
  </w:style>
  <w:style w:type="paragraph" w:styleId="17">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8">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9">
    <w:name w:val="Document Map"/>
    <w:basedOn w:val="1"/>
    <w:link w:val="145"/>
    <w:qFormat/>
    <w:uiPriority w:val="99"/>
    <w:pPr>
      <w:shd w:val="clear" w:color="auto" w:fill="000080"/>
    </w:pPr>
    <w:rPr>
      <w:rFonts w:ascii="Times New Roman" w:hAnsi="Times New Roman" w:eastAsia="宋体" w:cs="Times New Roman"/>
      <w:szCs w:val="20"/>
    </w:rPr>
  </w:style>
  <w:style w:type="paragraph" w:styleId="20">
    <w:name w:val="annotation text"/>
    <w:basedOn w:val="1"/>
    <w:link w:val="135"/>
    <w:semiHidden/>
    <w:unhideWhenUsed/>
    <w:qFormat/>
    <w:uiPriority w:val="99"/>
    <w:pPr>
      <w:jc w:val="left"/>
    </w:pPr>
  </w:style>
  <w:style w:type="paragraph" w:styleId="21">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2">
    <w:name w:val="Body Text Indent"/>
    <w:basedOn w:val="1"/>
    <w:link w:val="123"/>
    <w:unhideWhenUsed/>
    <w:qFormat/>
    <w:uiPriority w:val="0"/>
    <w:pPr>
      <w:spacing w:after="120"/>
      <w:ind w:left="420" w:leftChars="200"/>
    </w:pPr>
  </w:style>
  <w:style w:type="paragraph" w:styleId="23">
    <w:name w:val="List Bullet 2"/>
    <w:basedOn w:val="18"/>
    <w:qFormat/>
    <w:uiPriority w:val="0"/>
    <w:pPr>
      <w:ind w:left="851" w:hanging="284"/>
    </w:pPr>
  </w:style>
  <w:style w:type="paragraph" w:styleId="24">
    <w:name w:val="toc 5"/>
    <w:basedOn w:val="1"/>
    <w:next w:val="1"/>
    <w:qFormat/>
    <w:uiPriority w:val="39"/>
    <w:pPr>
      <w:ind w:left="840"/>
      <w:jc w:val="left"/>
    </w:pPr>
    <w:rPr>
      <w:rFonts w:ascii="Times New Roman" w:hAnsi="Times New Roman" w:eastAsia="宋体" w:cs="Times New Roman"/>
      <w:szCs w:val="20"/>
    </w:rPr>
  </w:style>
  <w:style w:type="paragraph" w:styleId="25">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6">
    <w:name w:val="Plain Text"/>
    <w:basedOn w:val="1"/>
    <w:link w:val="72"/>
    <w:qFormat/>
    <w:uiPriority w:val="0"/>
    <w:rPr>
      <w:rFonts w:ascii="宋体" w:hAnsi="Courier New"/>
      <w:sz w:val="28"/>
      <w:szCs w:val="28"/>
    </w:rPr>
  </w:style>
  <w:style w:type="paragraph" w:styleId="27">
    <w:name w:val="toc 8"/>
    <w:basedOn w:val="1"/>
    <w:next w:val="1"/>
    <w:qFormat/>
    <w:uiPriority w:val="39"/>
    <w:pPr>
      <w:ind w:left="1470"/>
      <w:jc w:val="left"/>
    </w:pPr>
    <w:rPr>
      <w:rFonts w:ascii="Times New Roman" w:hAnsi="Times New Roman" w:eastAsia="宋体" w:cs="Times New Roman"/>
      <w:szCs w:val="20"/>
    </w:rPr>
  </w:style>
  <w:style w:type="paragraph" w:styleId="28">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9">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30">
    <w:name w:val="Balloon Text"/>
    <w:basedOn w:val="1"/>
    <w:link w:val="69"/>
    <w:semiHidden/>
    <w:unhideWhenUsed/>
    <w:qFormat/>
    <w:uiPriority w:val="99"/>
    <w:rPr>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4">
    <w:name w:val="toc 4"/>
    <w:basedOn w:val="1"/>
    <w:next w:val="1"/>
    <w:qFormat/>
    <w:uiPriority w:val="39"/>
    <w:pPr>
      <w:ind w:left="630"/>
      <w:jc w:val="left"/>
    </w:pPr>
    <w:rPr>
      <w:rFonts w:ascii="Times New Roman" w:hAnsi="Times New Roman" w:eastAsia="宋体" w:cs="Times New Roman"/>
      <w:szCs w:val="20"/>
    </w:rPr>
  </w:style>
  <w:style w:type="paragraph" w:styleId="35">
    <w:name w:val="List"/>
    <w:basedOn w:val="1"/>
    <w:unhideWhenUsed/>
    <w:qFormat/>
    <w:uiPriority w:val="0"/>
    <w:pPr>
      <w:ind w:left="200" w:hanging="200" w:hangingChars="200"/>
    </w:pPr>
    <w:rPr>
      <w:rFonts w:ascii="Times New Roman" w:hAnsi="Times New Roman" w:eastAsia="宋体" w:cs="Times New Roman"/>
      <w:szCs w:val="24"/>
    </w:rPr>
  </w:style>
  <w:style w:type="paragraph" w:styleId="36">
    <w:name w:val="footnote text"/>
    <w:basedOn w:val="1"/>
    <w:link w:val="131"/>
    <w:semiHidden/>
    <w:qFormat/>
    <w:uiPriority w:val="0"/>
    <w:pPr>
      <w:snapToGrid w:val="0"/>
      <w:jc w:val="left"/>
    </w:pPr>
    <w:rPr>
      <w:rFonts w:eastAsia="宋体"/>
      <w:kern w:val="0"/>
      <w:sz w:val="18"/>
      <w:szCs w:val="18"/>
    </w:rPr>
  </w:style>
  <w:style w:type="paragraph" w:styleId="37">
    <w:name w:val="toc 6"/>
    <w:basedOn w:val="1"/>
    <w:next w:val="1"/>
    <w:qFormat/>
    <w:uiPriority w:val="39"/>
    <w:pPr>
      <w:ind w:left="1050"/>
      <w:jc w:val="left"/>
    </w:pPr>
    <w:rPr>
      <w:rFonts w:ascii="Times New Roman" w:hAnsi="Times New Roman" w:eastAsia="宋体" w:cs="Times New Roman"/>
      <w:szCs w:val="20"/>
    </w:rPr>
  </w:style>
  <w:style w:type="paragraph" w:styleId="38">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9">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40">
    <w:name w:val="toc 9"/>
    <w:basedOn w:val="1"/>
    <w:next w:val="1"/>
    <w:qFormat/>
    <w:uiPriority w:val="39"/>
    <w:pPr>
      <w:ind w:left="1680"/>
      <w:jc w:val="left"/>
    </w:pPr>
    <w:rPr>
      <w:rFonts w:ascii="Times New Roman" w:hAnsi="Times New Roman" w:eastAsia="宋体" w:cs="Times New Roman"/>
      <w:szCs w:val="20"/>
    </w:rPr>
  </w:style>
  <w:style w:type="paragraph" w:styleId="41">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4">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5">
    <w:name w:val="annotation subject"/>
    <w:basedOn w:val="20"/>
    <w:next w:val="20"/>
    <w:link w:val="136"/>
    <w:semiHidden/>
    <w:qFormat/>
    <w:uiPriority w:val="99"/>
    <w:rPr>
      <w:rFonts w:ascii="Times New Roman" w:hAnsi="Times New Roman" w:eastAsia="宋体" w:cs="Times New Roman"/>
      <w:b/>
      <w:bCs/>
      <w:szCs w:val="20"/>
    </w:rPr>
  </w:style>
  <w:style w:type="paragraph" w:styleId="46">
    <w:name w:val="Body Text First Indent 2"/>
    <w:basedOn w:val="22"/>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2"/>
    <w:qFormat/>
    <w:uiPriority w:val="99"/>
    <w:rPr>
      <w:sz w:val="18"/>
      <w:szCs w:val="18"/>
    </w:rPr>
  </w:style>
  <w:style w:type="character" w:customStyle="1" w:styleId="58">
    <w:name w:val="页脚 Char"/>
    <w:basedOn w:val="49"/>
    <w:link w:val="31"/>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6"/>
    <w:qFormat/>
    <w:uiPriority w:val="0"/>
    <w:pPr>
      <w:spacing w:line="0" w:lineRule="atLeast"/>
      <w:outlineLvl w:val="0"/>
    </w:pPr>
    <w:rPr>
      <w:rFonts w:eastAsia="宋体" w:cs="Times New Roman"/>
      <w:szCs w:val="20"/>
    </w:rPr>
  </w:style>
  <w:style w:type="character" w:customStyle="1" w:styleId="64">
    <w:name w:val="标题 1 Char"/>
    <w:basedOn w:val="49"/>
    <w:link w:val="5"/>
    <w:qFormat/>
    <w:uiPriority w:val="0"/>
    <w:rPr>
      <w:rFonts w:ascii="宋体" w:hAnsi="宋体" w:cstheme="minorBidi"/>
      <w:b/>
      <w:bCs/>
      <w:sz w:val="32"/>
      <w:szCs w:val="32"/>
      <w:lang w:eastAsia="en-US"/>
    </w:rPr>
  </w:style>
  <w:style w:type="character" w:customStyle="1" w:styleId="65">
    <w:name w:val="正文文本缩进 2 Char"/>
    <w:basedOn w:val="49"/>
    <w:link w:val="29"/>
    <w:qFormat/>
    <w:uiPriority w:val="0"/>
    <w:rPr>
      <w:rFonts w:ascii="Calibri" w:hAnsi="Calibri"/>
      <w:kern w:val="2"/>
      <w:sz w:val="21"/>
      <w:szCs w:val="22"/>
    </w:rPr>
  </w:style>
  <w:style w:type="character" w:customStyle="1" w:styleId="66">
    <w:name w:val="正文文本 Char"/>
    <w:basedOn w:val="49"/>
    <w:link w:val="3"/>
    <w:qFormat/>
    <w:uiPriority w:val="99"/>
    <w:rPr>
      <w:kern w:val="2"/>
      <w:sz w:val="21"/>
      <w:szCs w:val="22"/>
    </w:rPr>
  </w:style>
  <w:style w:type="character" w:customStyle="1" w:styleId="67">
    <w:name w:val="日期 Char"/>
    <w:basedOn w:val="49"/>
    <w:link w:val="28"/>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30"/>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6"/>
    <w:qFormat/>
    <w:uiPriority w:val="0"/>
    <w:rPr>
      <w:rFonts w:ascii="宋体" w:hAnsi="Courier New"/>
      <w:kern w:val="2"/>
      <w:sz w:val="28"/>
      <w:szCs w:val="28"/>
    </w:rPr>
  </w:style>
  <w:style w:type="character" w:customStyle="1" w:styleId="73">
    <w:name w:val="标题 2 Char"/>
    <w:basedOn w:val="49"/>
    <w:link w:val="6"/>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7"/>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8"/>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9"/>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10"/>
    <w:qFormat/>
    <w:uiPriority w:val="9"/>
    <w:rPr>
      <w:rFonts w:ascii="Tahoma" w:hAnsi="Tahoma" w:eastAsia="宋体" w:cs="Times New Roman"/>
      <w:i/>
      <w:sz w:val="21"/>
      <w:lang w:val="en-GB" w:eastAsia="fr-FR"/>
    </w:rPr>
  </w:style>
  <w:style w:type="character" w:customStyle="1" w:styleId="102">
    <w:name w:val="标题 7 Char"/>
    <w:basedOn w:val="49"/>
    <w:link w:val="11"/>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2"/>
    <w:qFormat/>
    <w:uiPriority w:val="9"/>
    <w:rPr>
      <w:rFonts w:ascii="Tahoma" w:hAnsi="Tahoma" w:eastAsia="宋体" w:cs="Times New Roman"/>
      <w:i/>
      <w:lang w:val="en-GB" w:eastAsia="fr-FR"/>
    </w:rPr>
  </w:style>
  <w:style w:type="character" w:customStyle="1" w:styleId="104">
    <w:name w:val="标题 9 Char"/>
    <w:basedOn w:val="49"/>
    <w:link w:val="13"/>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4"/>
    <w:qFormat/>
    <w:uiPriority w:val="0"/>
    <w:rPr>
      <w:rFonts w:ascii="Tahoma" w:hAnsi="Tahoma"/>
      <w:sz w:val="16"/>
      <w:lang w:val="en-GB" w:eastAsia="fr-FR"/>
    </w:rPr>
  </w:style>
  <w:style w:type="character" w:customStyle="1" w:styleId="112">
    <w:name w:val="宏文本 Char1"/>
    <w:basedOn w:val="49"/>
    <w:link w:val="4"/>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2"/>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6"/>
    <w:semiHidden/>
    <w:qFormat/>
    <w:uiPriority w:val="0"/>
    <w:rPr>
      <w:rFonts w:eastAsia="宋体"/>
      <w:sz w:val="18"/>
      <w:szCs w:val="18"/>
    </w:rPr>
  </w:style>
  <w:style w:type="character" w:customStyle="1" w:styleId="131">
    <w:name w:val="脚注文本 Char1"/>
    <w:basedOn w:val="49"/>
    <w:link w:val="36"/>
    <w:semiHidden/>
    <w:qFormat/>
    <w:uiPriority w:val="99"/>
    <w:rPr>
      <w:kern w:val="2"/>
      <w:sz w:val="18"/>
      <w:szCs w:val="18"/>
    </w:rPr>
  </w:style>
  <w:style w:type="character" w:customStyle="1" w:styleId="132">
    <w:name w:val="正文首行缩进 Char"/>
    <w:basedOn w:val="105"/>
    <w:link w:val="2"/>
    <w:qFormat/>
    <w:uiPriority w:val="0"/>
  </w:style>
  <w:style w:type="character" w:customStyle="1" w:styleId="133">
    <w:name w:val="正文首行缩进 Char1"/>
    <w:basedOn w:val="66"/>
    <w:link w:val="2"/>
    <w:semiHidden/>
    <w:qFormat/>
    <w:uiPriority w:val="99"/>
  </w:style>
  <w:style w:type="character" w:customStyle="1" w:styleId="134">
    <w:name w:val="正文文本缩进 3 Char"/>
    <w:basedOn w:val="49"/>
    <w:link w:val="38"/>
    <w:qFormat/>
    <w:uiPriority w:val="0"/>
    <w:rPr>
      <w:rFonts w:ascii="宋体" w:hAnsi="Times New Roman" w:eastAsia="宋体" w:cs="Times New Roman"/>
      <w:kern w:val="2"/>
      <w:sz w:val="24"/>
    </w:rPr>
  </w:style>
  <w:style w:type="character" w:customStyle="1" w:styleId="135">
    <w:name w:val="批注文字 Char"/>
    <w:basedOn w:val="49"/>
    <w:link w:val="20"/>
    <w:semiHidden/>
    <w:qFormat/>
    <w:uiPriority w:val="99"/>
    <w:rPr>
      <w:kern w:val="2"/>
      <w:sz w:val="21"/>
      <w:szCs w:val="22"/>
    </w:rPr>
  </w:style>
  <w:style w:type="character" w:customStyle="1" w:styleId="136">
    <w:name w:val="批注主题 Char"/>
    <w:basedOn w:val="135"/>
    <w:link w:val="45"/>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9"/>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5"/>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9"/>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9"/>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4"/>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5"/>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1"/>
    <w:qFormat/>
    <w:uiPriority w:val="99"/>
    <w:rPr>
      <w:rFonts w:ascii="宋体" w:hAnsi="宋体" w:eastAsia="宋体" w:cs="宋体"/>
      <w:sz w:val="24"/>
      <w:szCs w:val="24"/>
    </w:rPr>
  </w:style>
  <w:style w:type="paragraph" w:customStyle="1" w:styleId="177">
    <w:name w:val="表格正文"/>
    <w:basedOn w:val="1"/>
    <w:qFormat/>
    <w:uiPriority w:val="0"/>
    <w:pPr>
      <w:spacing w:before="40" w:after="40"/>
    </w:pPr>
    <w:rPr>
      <w:rFonts w:cs="Times New Roman"/>
    </w:rPr>
  </w:style>
  <w:style w:type="table" w:customStyle="1" w:styleId="178">
    <w:name w:val="Plain Table 1"/>
    <w:basedOn w:val="47"/>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7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5244</Words>
  <Characters>5534</Characters>
  <Lines>48</Lines>
  <Paragraphs>13</Paragraphs>
  <TotalTime>4</TotalTime>
  <ScaleCrop>false</ScaleCrop>
  <LinksUpToDate>false</LinksUpToDate>
  <CharactersWithSpaces>5976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中共扬州市江都区委宣传部(审核)</cp:lastModifiedBy>
  <dcterms:modified xsi:type="dcterms:W3CDTF">2023-04-21T03:36:51Z</dcterms:modified>
  <cp:revision>12739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9A654B4964994570B60479D7D39BF2F4</vt:lpwstr>
  </property>
</Properties>
</file>