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lang w:eastAsia="zh-CN"/>
        </w:rPr>
        <w:t>JDFYCG-</w:t>
      </w:r>
      <w:bookmarkStart w:id="2" w:name="_GoBack"/>
      <w:bookmarkEnd w:id="2"/>
      <w:r>
        <w:rPr>
          <w:rFonts w:hint="eastAsia" w:asciiTheme="minorEastAsia" w:hAnsiTheme="minorEastAsia"/>
          <w:spacing w:val="15"/>
          <w:sz w:val="36"/>
          <w:szCs w:val="36"/>
          <w:highlight w:val="none"/>
          <w:lang w:eastAsia="zh-CN"/>
        </w:rPr>
        <w:t>202</w:t>
      </w:r>
      <w:r>
        <w:rPr>
          <w:rFonts w:hint="eastAsia" w:asciiTheme="minorEastAsia" w:hAnsiTheme="minorEastAsia"/>
          <w:spacing w:val="15"/>
          <w:sz w:val="36"/>
          <w:szCs w:val="36"/>
          <w:highlight w:val="none"/>
          <w:lang w:val="en-US" w:eastAsia="zh-CN"/>
        </w:rPr>
        <w:t>4</w:t>
      </w:r>
      <w:r>
        <w:rPr>
          <w:rFonts w:hint="eastAsia" w:asciiTheme="minorEastAsia" w:hAnsiTheme="minorEastAsia"/>
          <w:spacing w:val="15"/>
          <w:sz w:val="36"/>
          <w:szCs w:val="36"/>
          <w:highlight w:val="none"/>
          <w:lang w:eastAsia="zh-CN"/>
        </w:rPr>
        <w:t>00</w:t>
      </w:r>
      <w:r>
        <w:rPr>
          <w:rFonts w:hint="eastAsia" w:asciiTheme="minorEastAsia" w:hAnsiTheme="minorEastAsia"/>
          <w:spacing w:val="15"/>
          <w:sz w:val="36"/>
          <w:szCs w:val="36"/>
          <w:highlight w:val="none"/>
          <w:lang w:val="en-US" w:eastAsia="zh-CN"/>
        </w:rPr>
        <w:t>4</w:t>
      </w:r>
    </w:p>
    <w:p>
      <w:pPr>
        <w:spacing w:line="360" w:lineRule="auto"/>
        <w:jc w:val="center"/>
        <w:rPr>
          <w:rFonts w:asciiTheme="minorEastAsia" w:hAnsiTheme="minorEastAsia"/>
          <w:b/>
          <w:spacing w:val="15"/>
          <w:sz w:val="52"/>
          <w:szCs w:val="52"/>
          <w:highlight w:val="none"/>
          <w:u w:val="single"/>
        </w:rPr>
      </w:pPr>
    </w:p>
    <w:p>
      <w:pPr>
        <w:spacing w:line="360" w:lineRule="auto"/>
        <w:ind w:left="1" w:right="94" w:rightChars="45" w:firstLine="283"/>
        <w:jc w:val="center"/>
        <w:rPr>
          <w:rFonts w:hint="eastAsia" w:asciiTheme="minorEastAsia" w:hAnsiTheme="minorEastAsia"/>
          <w:b/>
          <w:spacing w:val="15"/>
          <w:sz w:val="44"/>
          <w:szCs w:val="44"/>
          <w:highlight w:val="none"/>
          <w:lang w:eastAsia="zh-CN"/>
        </w:rPr>
      </w:pPr>
      <w:r>
        <w:rPr>
          <w:rFonts w:hint="eastAsia" w:asciiTheme="minorEastAsia" w:hAnsiTheme="minorEastAsia"/>
          <w:b/>
          <w:spacing w:val="15"/>
          <w:sz w:val="44"/>
          <w:szCs w:val="44"/>
          <w:highlight w:val="none"/>
        </w:rPr>
        <w:t>扬州市江都妇幼保健院</w:t>
      </w:r>
      <w:r>
        <w:rPr>
          <w:rFonts w:hint="eastAsia" w:asciiTheme="minorEastAsia" w:hAnsiTheme="minorEastAsia"/>
          <w:b/>
          <w:spacing w:val="15"/>
          <w:sz w:val="44"/>
          <w:szCs w:val="44"/>
          <w:highlight w:val="none"/>
          <w:lang w:eastAsia="zh-CN"/>
        </w:rPr>
        <w:t>彩超维保项目</w:t>
      </w:r>
    </w:p>
    <w:p>
      <w:pPr>
        <w:spacing w:line="360" w:lineRule="auto"/>
        <w:ind w:left="1" w:right="94" w:rightChars="45" w:firstLine="283"/>
        <w:jc w:val="center"/>
        <w:rPr>
          <w:rFonts w:asciiTheme="minorEastAsia" w:hAnsiTheme="minorEastAsia"/>
          <w:b/>
          <w:spacing w:val="15"/>
          <w:sz w:val="44"/>
          <w:szCs w:val="44"/>
          <w:highlight w:val="none"/>
        </w:rPr>
      </w:pPr>
      <w:r>
        <w:rPr>
          <w:rFonts w:hint="eastAsia" w:asciiTheme="minorEastAsia" w:hAnsiTheme="minorEastAsia"/>
          <w:b/>
          <w:spacing w:val="15"/>
          <w:sz w:val="44"/>
          <w:szCs w:val="44"/>
          <w:highlight w:val="none"/>
        </w:rPr>
        <w:t>询价文件</w:t>
      </w: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6</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highlight w:val="none"/>
        </w:rPr>
      </w:pPr>
      <w:r>
        <w:rPr>
          <w:rFonts w:hint="eastAsia" w:asciiTheme="minorEastAsia" w:hAnsiTheme="minorEastAsia"/>
          <w:b/>
          <w:spacing w:val="15"/>
          <w:sz w:val="36"/>
          <w:szCs w:val="36"/>
          <w:highlight w:val="none"/>
          <w:u w:val="single"/>
          <w:lang w:eastAsia="zh-CN"/>
        </w:rPr>
        <w:t>JDFYCG-202</w:t>
      </w:r>
      <w:r>
        <w:rPr>
          <w:rFonts w:hint="eastAsia" w:asciiTheme="minorEastAsia" w:hAnsiTheme="minorEastAsia"/>
          <w:b/>
          <w:spacing w:val="15"/>
          <w:sz w:val="36"/>
          <w:szCs w:val="36"/>
          <w:highlight w:val="none"/>
          <w:u w:val="single"/>
          <w:lang w:val="en-US" w:eastAsia="zh-CN"/>
        </w:rPr>
        <w:t>4</w:t>
      </w:r>
      <w:r>
        <w:rPr>
          <w:rFonts w:hint="eastAsia" w:asciiTheme="minorEastAsia" w:hAnsiTheme="minorEastAsia"/>
          <w:b/>
          <w:spacing w:val="15"/>
          <w:sz w:val="36"/>
          <w:szCs w:val="36"/>
          <w:highlight w:val="none"/>
          <w:u w:val="single"/>
          <w:lang w:eastAsia="zh-CN"/>
        </w:rPr>
        <w:t>00</w:t>
      </w:r>
      <w:r>
        <w:rPr>
          <w:rFonts w:hint="eastAsia" w:asciiTheme="minorEastAsia" w:hAnsiTheme="minorEastAsia"/>
          <w:b/>
          <w:spacing w:val="15"/>
          <w:sz w:val="36"/>
          <w:szCs w:val="36"/>
          <w:highlight w:val="none"/>
          <w:u w:val="single"/>
          <w:lang w:val="en-US" w:eastAsia="zh-CN"/>
        </w:rPr>
        <w:t>4</w:t>
      </w:r>
      <w:r>
        <w:rPr>
          <w:rFonts w:hint="eastAsia" w:asciiTheme="minorEastAsia" w:hAnsiTheme="minorEastAsia"/>
          <w:b/>
          <w:spacing w:val="15"/>
          <w:sz w:val="36"/>
          <w:szCs w:val="36"/>
          <w:highlight w:val="none"/>
          <w:u w:val="single"/>
        </w:rPr>
        <w:t>扬州市江都妇幼保健院</w:t>
      </w:r>
      <w:r>
        <w:rPr>
          <w:rFonts w:hint="eastAsia" w:asciiTheme="minorEastAsia" w:hAnsiTheme="minorEastAsia"/>
          <w:b/>
          <w:spacing w:val="15"/>
          <w:sz w:val="36"/>
          <w:szCs w:val="36"/>
          <w:highlight w:val="none"/>
          <w:u w:val="single"/>
          <w:lang w:eastAsia="zh-CN"/>
        </w:rPr>
        <w:t>彩超维保项目</w:t>
      </w:r>
      <w:r>
        <w:rPr>
          <w:rFonts w:hint="eastAsia" w:asciiTheme="minorEastAsia" w:hAnsiTheme="minorEastAsia"/>
          <w:b/>
          <w:spacing w:val="15"/>
          <w:sz w:val="36"/>
          <w:szCs w:val="36"/>
          <w:highlight w:val="none"/>
        </w:rPr>
        <w:t>询价公告</w:t>
      </w:r>
    </w:p>
    <w:p>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w:t>
      </w:r>
      <w:r>
        <w:rPr>
          <w:rFonts w:hint="eastAsia" w:asciiTheme="minorEastAsia" w:hAnsiTheme="minorEastAsia"/>
          <w:b/>
          <w:spacing w:val="15"/>
          <w:sz w:val="24"/>
          <w:szCs w:val="24"/>
          <w:highlight w:val="none"/>
          <w:lang w:val="en-US" w:eastAsia="zh-CN"/>
        </w:rPr>
        <w:t>4</w:t>
      </w:r>
      <w:r>
        <w:rPr>
          <w:rFonts w:hint="eastAsia" w:asciiTheme="minorEastAsia" w:hAnsiTheme="minorEastAsia"/>
          <w:b/>
          <w:spacing w:val="15"/>
          <w:sz w:val="24"/>
          <w:szCs w:val="24"/>
          <w:highlight w:val="none"/>
          <w:lang w:eastAsia="zh-CN"/>
        </w:rPr>
        <w:t>004</w:t>
      </w:r>
    </w:p>
    <w:p>
      <w:pPr>
        <w:spacing w:line="480" w:lineRule="exact"/>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彩超维保项目</w:t>
      </w:r>
      <w:r>
        <w:rPr>
          <w:rFonts w:hint="eastAsia" w:ascii="宋体" w:hAnsi="宋体" w:eastAsia="宋体" w:cs="Times New Roman"/>
          <w:bCs/>
          <w:sz w:val="24"/>
          <w:szCs w:val="24"/>
          <w:highlight w:val="none"/>
        </w:rPr>
        <w:t>，现欢迎符合相关条件的供应商参加。</w:t>
      </w:r>
    </w:p>
    <w:p>
      <w:pPr>
        <w:widowControl/>
        <w:spacing w:line="480" w:lineRule="exact"/>
        <w:ind w:firstLine="482" w:firstLineChars="200"/>
        <w:jc w:val="left"/>
        <w:rPr>
          <w:rFonts w:ascii="宋体" w:hAnsi="宋体"/>
          <w:b/>
          <w:sz w:val="24"/>
          <w:szCs w:val="24"/>
          <w:highlight w:val="none"/>
        </w:rPr>
      </w:pPr>
      <w:r>
        <w:rPr>
          <w:rFonts w:hint="eastAsia" w:ascii="宋体" w:hAnsi="宋体"/>
          <w:b/>
          <w:sz w:val="24"/>
          <w:szCs w:val="24"/>
          <w:highlight w:val="none"/>
        </w:rPr>
        <w:t>（一）项目采购要求：</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1、报价一览表（原件）；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2、法人营业执照（复印件加盖投标人公章）；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3</w:t>
      </w:r>
      <w:r>
        <w:rPr>
          <w:rFonts w:hint="eastAsia" w:ascii="宋体" w:hAnsi="宋体"/>
          <w:bCs/>
          <w:sz w:val="24"/>
          <w:szCs w:val="24"/>
          <w:highlight w:val="none"/>
        </w:rPr>
        <w:t>、法定代表人资格证明或法定代表人有效授权委托书（原件及复印件加盖投标人公章）；</w:t>
      </w:r>
    </w:p>
    <w:p>
      <w:pPr>
        <w:spacing w:line="480" w:lineRule="exact"/>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4</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hint="default" w:eastAsia="Adobe 仿宋 Std R"/>
          <w:highlight w:val="none"/>
          <w:lang w:val="en-US" w:eastAsia="zh-CN"/>
        </w:rPr>
      </w:pPr>
      <w:r>
        <w:rPr>
          <w:rFonts w:hint="eastAsia" w:ascii="宋体" w:hAnsi="宋体"/>
          <w:bCs/>
          <w:sz w:val="24"/>
          <w:szCs w:val="24"/>
          <w:highlight w:val="none"/>
          <w:lang w:val="en-US" w:eastAsia="zh-CN"/>
        </w:rPr>
        <w:t>5、</w:t>
      </w:r>
      <w:r>
        <w:rPr>
          <w:rFonts w:hint="eastAsia" w:ascii="宋体" w:hAnsi="宋体"/>
          <w:bCs/>
          <w:sz w:val="24"/>
          <w:szCs w:val="24"/>
          <w:highlight w:val="none"/>
        </w:rPr>
        <w:t>投标人所提供投标产品技术参数满足采购人需求的证明文件；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、技术参数要求响应偏离表（加盖公章）；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、承诺书（格式详见附件3，加盖公章）；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8</w:t>
      </w:r>
      <w:r>
        <w:rPr>
          <w:rFonts w:hint="eastAsia" w:ascii="宋体" w:hAnsi="宋体"/>
          <w:bCs/>
          <w:sz w:val="24"/>
          <w:szCs w:val="24"/>
          <w:highlight w:val="none"/>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、供应商廉洁自律承诺书（格式详见附件5，加盖公章）。</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sz w:val="24"/>
          <w:szCs w:val="24"/>
          <w:highlight w:val="none"/>
          <w:lang w:val="en-US" w:eastAsia="zh-CN"/>
        </w:rPr>
        <w:t>柒仟陆佰</w:t>
      </w:r>
      <w:r>
        <w:rPr>
          <w:rFonts w:hint="eastAsia" w:ascii="宋体" w:hAnsi="宋体"/>
          <w:b/>
          <w:sz w:val="24"/>
          <w:szCs w:val="24"/>
          <w:highlight w:val="none"/>
          <w:lang w:eastAsia="zh-CN"/>
        </w:rPr>
        <w:t>元整</w:t>
      </w:r>
      <w:r>
        <w:rPr>
          <w:rFonts w:hint="eastAsia" w:ascii="宋体" w:hAnsi="宋体"/>
          <w:b/>
          <w:sz w:val="24"/>
          <w:szCs w:val="24"/>
          <w:highlight w:val="none"/>
        </w:rPr>
        <w:t>。</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38</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（九）</w:t>
      </w:r>
      <w:r>
        <w:rPr>
          <w:rFonts w:hint="eastAsia" w:ascii="仿宋_GB2312" w:hAnsi="宋体" w:cs="Arial"/>
          <w:sz w:val="24"/>
          <w:szCs w:val="24"/>
          <w:highlight w:val="none"/>
          <w:lang w:val="en-US" w:eastAsia="zh-CN"/>
        </w:rPr>
        <w:t>服务</w:t>
      </w:r>
      <w:r>
        <w:rPr>
          <w:rFonts w:hint="eastAsia" w:ascii="仿宋_GB2312" w:hAnsi="宋体" w:cs="Arial"/>
          <w:sz w:val="24"/>
          <w:szCs w:val="24"/>
          <w:highlight w:val="none"/>
        </w:rPr>
        <w:t>期</w:t>
      </w:r>
      <w:r>
        <w:rPr>
          <w:rFonts w:hint="eastAsia" w:ascii="仿宋_GB2312" w:hAnsi="宋体" w:cs="Arial"/>
          <w:sz w:val="24"/>
          <w:szCs w:val="24"/>
          <w:highlight w:val="none"/>
          <w:lang w:val="en-US" w:eastAsia="zh-CN"/>
        </w:rPr>
        <w:t>限</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两</w:t>
      </w:r>
      <w:r>
        <w:rPr>
          <w:rFonts w:hint="eastAsia" w:ascii="仿宋_GB2312" w:hAnsi="宋体" w:cs="Arial"/>
          <w:sz w:val="24"/>
          <w:szCs w:val="24"/>
          <w:highlight w:val="none"/>
          <w:lang w:eastAsia="zh-CN"/>
        </w:rPr>
        <w:t>年。</w:t>
      </w:r>
    </w:p>
    <w:p>
      <w:pPr>
        <w:keepNext w:val="0"/>
        <w:keepLines w:val="0"/>
        <w:pageBreakBefore w:val="0"/>
        <w:kinsoku/>
        <w:wordWrap/>
        <w:topLinePunct w:val="0"/>
        <w:bidi w:val="0"/>
        <w:snapToGrid/>
        <w:spacing w:line="480" w:lineRule="exact"/>
        <w:ind w:firstLine="480" w:firstLineChars="200"/>
        <w:rPr>
          <w:rFonts w:hint="eastAsia" w:ascii="仿宋_GB2312" w:hAnsi="宋体" w:cs="Arial"/>
          <w:sz w:val="24"/>
          <w:szCs w:val="24"/>
          <w:highlight w:val="none"/>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w:t>
      </w:r>
      <w:r>
        <w:rPr>
          <w:rFonts w:hint="eastAsia" w:ascii="宋体" w:hAnsi="宋体" w:eastAsia="宋体" w:cs="宋体"/>
          <w:sz w:val="24"/>
          <w:szCs w:val="24"/>
          <w:highlight w:val="none"/>
        </w:rPr>
        <w:t>2025年6月底前付款50%，2026年6月底前结清余款</w:t>
      </w:r>
      <w:r>
        <w:rPr>
          <w:rFonts w:hint="eastAsia" w:ascii="仿宋_GB2312" w:hAnsi="宋体" w:cs="Arial"/>
          <w:sz w:val="24"/>
          <w:szCs w:val="24"/>
          <w:highlight w:val="none"/>
        </w:rPr>
        <w:t>。</w:t>
      </w:r>
    </w:p>
    <w:p>
      <w:pPr>
        <w:keepNext w:val="0"/>
        <w:keepLines w:val="0"/>
        <w:pageBreakBefore w:val="0"/>
        <w:kinsoku/>
        <w:wordWrap/>
        <w:topLinePunct w:val="0"/>
        <w:bidi w:val="0"/>
        <w:snapToGrid/>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一</w:t>
      </w:r>
      <w:r>
        <w:rPr>
          <w:rFonts w:hint="eastAsia" w:ascii="宋体" w:hAnsi="宋体"/>
          <w:sz w:val="24"/>
          <w:szCs w:val="24"/>
          <w:highlight w:val="none"/>
        </w:rPr>
        <w:t>）开标相关信息：</w:t>
      </w:r>
    </w:p>
    <w:p>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lang w:eastAsia="zh-CN"/>
        </w:rPr>
        <w:t>日上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09:00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lang w:eastAsia="zh-CN"/>
        </w:rPr>
        <w:t>日上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09:30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rPr>
        <w:t>下午</w:t>
      </w:r>
      <w:r>
        <w:rPr>
          <w:rFonts w:hint="eastAsia" w:cs="Arial" w:asciiTheme="majorEastAsia" w:hAnsiTheme="majorEastAsia" w:eastAsiaTheme="majorEastAsia"/>
          <w:sz w:val="24"/>
          <w:szCs w:val="24"/>
          <w:highlight w:val="none"/>
          <w:lang w:val="en-US" w:eastAsia="zh-CN"/>
        </w:rPr>
        <w:t>09:30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spacing w:line="480" w:lineRule="exact"/>
        <w:jc w:val="both"/>
        <w:rPr>
          <w:rFonts w:hint="eastAsia" w:ascii="仿宋_GB2312" w:hAnsi="宋体" w:cs="Arial"/>
          <w:sz w:val="24"/>
          <w:szCs w:val="24"/>
          <w:highlight w:val="none"/>
        </w:rPr>
      </w:pPr>
    </w:p>
    <w:p>
      <w:pPr>
        <w:spacing w:line="480" w:lineRule="exact"/>
        <w:ind w:firstLine="480" w:firstLineChars="20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8"/>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项目名称：扬州市江都妇幼保健院</w:t>
            </w:r>
            <w:r>
              <w:rPr>
                <w:rFonts w:hint="eastAsia" w:cs="仿宋" w:asciiTheme="majorEastAsia" w:hAnsiTheme="majorEastAsia" w:eastAsiaTheme="majorEastAsia"/>
                <w:bCs/>
                <w:highlight w:val="none"/>
                <w:lang w:eastAsia="zh-CN"/>
              </w:rPr>
              <w:t>彩超维保项目</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004</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供应商资格要求：</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rPr>
              <w:t>1、投标供应商须具备《中华人民共和国政府采购法》第22条规定；</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2</w:t>
            </w:r>
            <w:r>
              <w:rPr>
                <w:rFonts w:hint="eastAsia" w:cs="仿宋" w:asciiTheme="majorEastAsia" w:hAnsiTheme="majorEastAsia" w:eastAsiaTheme="majorEastAsia"/>
                <w:bCs/>
                <w:highlight w:val="none"/>
              </w:rPr>
              <w:t>、本项目不接受联合体投标；</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7</w:t>
            </w:r>
            <w:r>
              <w:rPr>
                <w:rFonts w:hint="eastAsia" w:cs="仿宋" w:asciiTheme="majorEastAsia" w:hAnsiTheme="majorEastAsia" w:eastAsiaTheme="majorEastAsia"/>
                <w:bCs/>
                <w:highlight w:val="none"/>
                <w:lang w:eastAsia="zh-CN"/>
              </w:rPr>
              <w:t>日上</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09:00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7</w:t>
            </w:r>
            <w:r>
              <w:rPr>
                <w:rFonts w:hint="eastAsia" w:cs="仿宋" w:asciiTheme="majorEastAsia" w:hAnsiTheme="majorEastAsia" w:eastAsiaTheme="majorEastAsia"/>
                <w:bCs/>
                <w:highlight w:val="none"/>
                <w:lang w:eastAsia="zh-CN"/>
              </w:rPr>
              <w:t>日上</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09:30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6</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7</w:t>
            </w:r>
            <w:r>
              <w:rPr>
                <w:rFonts w:hint="eastAsia" w:cs="仿宋" w:asciiTheme="majorEastAsia" w:hAnsiTheme="majorEastAsia" w:eastAsiaTheme="majorEastAsia"/>
                <w:bCs/>
                <w:highlight w:val="none"/>
                <w:lang w:eastAsia="zh-CN"/>
              </w:rPr>
              <w:t>日上</w:t>
            </w:r>
            <w:r>
              <w:rPr>
                <w:rFonts w:hint="eastAsia" w:cs="仿宋" w:asciiTheme="majorEastAsia" w:hAnsiTheme="majorEastAsia" w:eastAsiaTheme="majorEastAsia"/>
                <w:bCs/>
                <w:highlight w:val="none"/>
              </w:rPr>
              <w:t>午</w:t>
            </w:r>
            <w:r>
              <w:rPr>
                <w:rFonts w:hint="eastAsia" w:cs="仿宋" w:asciiTheme="majorEastAsia" w:hAnsiTheme="majorEastAsia" w:eastAsiaTheme="majorEastAsia"/>
                <w:bCs/>
                <w:highlight w:val="none"/>
                <w:lang w:val="en-US" w:eastAsia="zh-CN"/>
              </w:rPr>
              <w:t>09:30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投标保证金：柒仟陆佰元整</w:t>
            </w:r>
            <w:r>
              <w:rPr>
                <w:rFonts w:hint="eastAsia" w:cs="仿宋" w:asciiTheme="majorEastAsia" w:hAnsiTheme="majorEastAsia" w:eastAsiaTheme="majorEastAsia"/>
                <w:b/>
                <w:bCs/>
                <w:highlight w:val="none"/>
              </w:rPr>
              <w:t>。</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8"/>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tblPrEx>
          <w:tblCellMar>
            <w:top w:w="0" w:type="dxa"/>
            <w:left w:w="108" w:type="dxa"/>
            <w:bottom w:w="0" w:type="dxa"/>
            <w:right w:w="108" w:type="dxa"/>
          </w:tblCellMar>
        </w:tblPrEx>
        <w:trPr>
          <w:trHeight w:val="115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彩超维保项目</w:t>
            </w:r>
          </w:p>
        </w:tc>
        <w:tc>
          <w:tcPr>
            <w:tcW w:w="182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项</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cs="宋体"/>
                <w:szCs w:val="21"/>
                <w:highlight w:val="none"/>
                <w:lang w:val="en-US" w:eastAsia="zh-CN"/>
              </w:rPr>
              <w:t>限</w:t>
            </w:r>
            <w:r>
              <w:rPr>
                <w:rFonts w:hint="eastAsia" w:ascii="宋体" w:hAnsi="宋体" w:cs="宋体"/>
                <w:szCs w:val="21"/>
                <w:highlight w:val="none"/>
              </w:rPr>
              <w:t>：</w:t>
            </w:r>
            <w:r>
              <w:rPr>
                <w:rFonts w:hint="eastAsia" w:ascii="宋体" w:hAnsi="宋体" w:eastAsia="宋体" w:cs="宋体"/>
                <w:szCs w:val="21"/>
                <w:highlight w:val="none"/>
                <w:lang w:val="en-US" w:eastAsia="zh-CN"/>
              </w:rPr>
              <w:t>两年</w:t>
            </w:r>
            <w:r>
              <w:rPr>
                <w:rFonts w:hint="eastAsia" w:ascii="宋体" w:hAnsi="宋体" w:cs="宋体"/>
                <w:szCs w:val="21"/>
                <w:highlight w:val="none"/>
              </w:rPr>
              <w:t>。</w:t>
            </w:r>
          </w:p>
        </w:tc>
      </w:tr>
      <w:tr>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ascii="宋体" w:hAnsi="宋体" w:cs="宋体"/>
                <w:kern w:val="0"/>
                <w:highlight w:val="none"/>
                <w:lang w:eastAsia="zh-CN"/>
              </w:rPr>
              <w:t>人员工资</w:t>
            </w:r>
            <w:r>
              <w:rPr>
                <w:rFonts w:hint="eastAsia" w:ascii="宋体" w:hAnsi="宋体" w:cs="宋体"/>
                <w:kern w:val="0"/>
                <w:highlight w:val="none"/>
              </w:rPr>
              <w:t>－</w:t>
            </w:r>
            <w:r>
              <w:rPr>
                <w:rFonts w:hint="eastAsia" w:ascii="宋体" w:hAnsi="宋体" w:cs="宋体"/>
                <w:kern w:val="0"/>
                <w:highlight w:val="none"/>
                <w:lang w:eastAsia="zh-CN"/>
              </w:rPr>
              <w:t>维保费</w:t>
            </w:r>
            <w:r>
              <w:rPr>
                <w:rFonts w:hint="eastAsia" w:ascii="宋体" w:hAnsi="宋体" w:cs="宋体"/>
                <w:kern w:val="0"/>
                <w:highlight w:val="none"/>
              </w:rPr>
              <w:t>—</w:t>
            </w:r>
            <w:r>
              <w:rPr>
                <w:rFonts w:hint="eastAsia" w:ascii="宋体" w:hAnsi="宋体" w:cs="宋体"/>
                <w:kern w:val="0"/>
                <w:highlight w:val="none"/>
                <w:lang w:eastAsia="zh-CN"/>
              </w:rPr>
              <w:t>配件费</w:t>
            </w:r>
            <w:r>
              <w:rPr>
                <w:rFonts w:hint="eastAsia" w:ascii="宋体" w:hAnsi="宋体" w:cs="宋体"/>
                <w:kern w:val="0"/>
                <w:highlight w:val="none"/>
              </w:rPr>
              <w:t>—检测</w:t>
            </w:r>
            <w:r>
              <w:rPr>
                <w:rFonts w:hint="eastAsia" w:ascii="宋体" w:hAnsi="宋体" w:cs="宋体"/>
                <w:kern w:val="0"/>
                <w:highlight w:val="none"/>
                <w:lang w:eastAsia="zh-CN"/>
              </w:rPr>
              <w:t>费</w:t>
            </w:r>
            <w:r>
              <w:rPr>
                <w:rFonts w:hint="eastAsia" w:ascii="宋体" w:hAnsi="宋体" w:cs="宋体"/>
                <w:kern w:val="0"/>
                <w:highlight w:val="none"/>
              </w:rPr>
              <w:t>—调试费—税金等相关所有费用。</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5、服务期：两年</w:t>
            </w:r>
          </w:p>
          <w:p>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8"/>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pStyle w:val="32"/>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彩超维保</w:t>
      </w:r>
      <w:r>
        <w:rPr>
          <w:rFonts w:hint="eastAsia" w:ascii="宋体" w:hAnsi="宋体" w:eastAsia="宋体" w:cs="宋体"/>
          <w:sz w:val="21"/>
          <w:szCs w:val="21"/>
          <w:highlight w:val="none"/>
          <w:lang w:val="en-US" w:eastAsia="zh-CN"/>
        </w:rPr>
        <w:t>项目需求</w:t>
      </w:r>
    </w:p>
    <w:tbl>
      <w:tblPr>
        <w:tblStyle w:val="48"/>
        <w:tblW w:w="9354"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416"/>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416" w:type="dxa"/>
            <w:tcBorders>
              <w:top w:val="single" w:color="auto" w:sz="4" w:space="0"/>
              <w:left w:val="single" w:color="auto" w:sz="4" w:space="0"/>
              <w:bottom w:val="single" w:color="auto" w:sz="4" w:space="0"/>
              <w:right w:val="single" w:color="auto" w:sz="4" w:space="0"/>
            </w:tcBorders>
            <w:noWrap/>
            <w:vAlign w:val="center"/>
          </w:tcPr>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7938" w:type="dxa"/>
            <w:tcBorders>
              <w:top w:val="single" w:color="auto" w:sz="4" w:space="0"/>
              <w:left w:val="single" w:color="auto" w:sz="4" w:space="0"/>
              <w:bottom w:val="single" w:color="auto" w:sz="4" w:space="0"/>
              <w:right w:val="single" w:color="auto" w:sz="4" w:space="0"/>
            </w:tcBorders>
            <w:noWrap/>
            <w:vAlign w:val="center"/>
          </w:tcPr>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项目采购需求中主要技术</w:t>
            </w:r>
          </w:p>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条款描述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04" w:hRule="atLeast"/>
        </w:trPr>
        <w:tc>
          <w:tcPr>
            <w:tcW w:w="1416" w:type="dxa"/>
            <w:tcBorders>
              <w:top w:val="single" w:color="auto" w:sz="4" w:space="0"/>
              <w:left w:val="single" w:color="auto" w:sz="4" w:space="0"/>
              <w:bottom w:val="single" w:color="auto" w:sz="4" w:space="0"/>
              <w:right w:val="single" w:color="auto" w:sz="4" w:space="0"/>
            </w:tcBorders>
            <w:noWrap/>
            <w:vAlign w:val="center"/>
          </w:tcPr>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*1.1</w:t>
            </w:r>
          </w:p>
        </w:tc>
        <w:tc>
          <w:tcPr>
            <w:tcW w:w="7938" w:type="dxa"/>
            <w:tcBorders>
              <w:top w:val="single" w:color="auto" w:sz="4" w:space="0"/>
              <w:left w:val="single" w:color="auto" w:sz="4" w:space="0"/>
              <w:bottom w:val="single" w:color="auto" w:sz="4" w:space="0"/>
              <w:right w:val="single" w:color="auto" w:sz="4" w:space="0"/>
            </w:tcBorders>
            <w:noWrap/>
            <w:vAlign w:val="center"/>
          </w:tcPr>
          <w:p>
            <w:pPr>
              <w:pStyle w:val="26"/>
              <w:spacing w:line="520" w:lineRule="exact"/>
              <w:jc w:val="left"/>
              <w:rPr>
                <w:rFonts w:hint="eastAsia" w:ascii="宋体" w:hAnsi="宋体" w:eastAsia="宋体" w:cs="宋体"/>
                <w:bCs/>
                <w:color w:val="000000"/>
                <w:sz w:val="21"/>
                <w:szCs w:val="21"/>
                <w:highlight w:val="none"/>
                <w:lang w:eastAsia="zh-CN"/>
              </w:rPr>
            </w:pPr>
            <w:r>
              <w:rPr>
                <w:rFonts w:hint="eastAsia" w:ascii="宋体" w:hAnsi="宋体" w:eastAsia="宋体" w:cs="宋体"/>
                <w:color w:val="000000"/>
                <w:sz w:val="21"/>
                <w:szCs w:val="21"/>
                <w:highlight w:val="none"/>
              </w:rPr>
              <w:t>四台彩超全保服务</w:t>
            </w:r>
            <w:r>
              <w:rPr>
                <w:rFonts w:hint="eastAsia" w:ascii="宋体" w:hAnsi="宋体" w:eastAsia="宋体" w:cs="宋体"/>
                <w:sz w:val="21"/>
                <w:szCs w:val="21"/>
                <w:highlight w:val="none"/>
              </w:rPr>
              <w:t>（所含探头和电路板、显示器、键盘等所有备件，在维保期内，所配备件和探头不限更换次数和数量）</w:t>
            </w:r>
            <w:r>
              <w:rPr>
                <w:rFonts w:hint="eastAsia"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04" w:hRule="atLeast"/>
        </w:trPr>
        <w:tc>
          <w:tcPr>
            <w:tcW w:w="1416" w:type="dxa"/>
            <w:tcBorders>
              <w:top w:val="single" w:color="auto" w:sz="4" w:space="0"/>
              <w:left w:val="single" w:color="auto" w:sz="4" w:space="0"/>
              <w:right w:val="single" w:color="auto" w:sz="4" w:space="0"/>
            </w:tcBorders>
            <w:noWrap/>
            <w:vAlign w:val="center"/>
          </w:tcPr>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*1.2</w:t>
            </w:r>
          </w:p>
        </w:tc>
        <w:tc>
          <w:tcPr>
            <w:tcW w:w="7938" w:type="dxa"/>
            <w:tcBorders>
              <w:top w:val="single" w:color="auto" w:sz="4" w:space="0"/>
              <w:left w:val="single" w:color="auto" w:sz="4" w:space="0"/>
              <w:right w:val="single" w:color="auto" w:sz="4" w:space="0"/>
            </w:tcBorders>
            <w:noWrap/>
            <w:vAlign w:val="center"/>
          </w:tcPr>
          <w:p>
            <w:pPr>
              <w:pStyle w:val="26"/>
              <w:spacing w:line="520" w:lineRule="exact"/>
              <w:jc w:val="left"/>
              <w:rPr>
                <w:rFonts w:hint="eastAsia" w:ascii="宋体" w:hAnsi="宋体" w:eastAsia="宋体" w:cs="宋体"/>
                <w:bCs/>
                <w:color w:val="000000"/>
                <w:sz w:val="21"/>
                <w:szCs w:val="21"/>
                <w:highlight w:val="none"/>
                <w:lang w:eastAsia="zh-CN"/>
              </w:rPr>
            </w:pPr>
            <w:r>
              <w:rPr>
                <w:rFonts w:hint="eastAsia" w:ascii="宋体" w:hAnsi="宋体" w:eastAsia="宋体" w:cs="宋体"/>
                <w:sz w:val="21"/>
                <w:szCs w:val="21"/>
                <w:highlight w:val="none"/>
              </w:rPr>
              <w:t>在保修服务期内维修所需的相关辅助设备和材料均由服务提供方提供，并根据临床科室增加的新功能来满足科研方面的需求，对维保设备进行免费的功能开通</w:t>
            </w:r>
            <w:r>
              <w:rPr>
                <w:rFonts w:hint="eastAsia"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416" w:type="dxa"/>
            <w:tcBorders>
              <w:top w:val="single" w:color="auto" w:sz="4" w:space="0"/>
              <w:left w:val="single" w:color="auto" w:sz="4" w:space="0"/>
              <w:right w:val="single" w:color="auto" w:sz="4" w:space="0"/>
            </w:tcBorders>
            <w:noWrap/>
            <w:vAlign w:val="center"/>
          </w:tcPr>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*1.3</w:t>
            </w:r>
          </w:p>
        </w:tc>
        <w:tc>
          <w:tcPr>
            <w:tcW w:w="7938" w:type="dxa"/>
            <w:tcBorders>
              <w:top w:val="single" w:color="auto" w:sz="4" w:space="0"/>
              <w:left w:val="single" w:color="auto" w:sz="4" w:space="0"/>
              <w:right w:val="single" w:color="auto" w:sz="4" w:space="0"/>
            </w:tcBorders>
            <w:noWrap/>
            <w:vAlign w:val="center"/>
          </w:tcPr>
          <w:p>
            <w:pPr>
              <w:pStyle w:val="26"/>
              <w:spacing w:line="520" w:lineRule="exact"/>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sz w:val="21"/>
                <w:szCs w:val="21"/>
                <w:highlight w:val="none"/>
              </w:rPr>
              <w:t>在保修服务期内设备正常开机率不低于95%。如果此开机率未能达到(不可抗力情况除外，不可抗力应指任何遭受不可抗力方无法预见的且超出其合理控制的事件)，对于开机率低于95% 的每一个百分点, 维修合同期限将相应延长15个日历</w:t>
            </w:r>
            <w:r>
              <w:rPr>
                <w:rFonts w:hint="eastAsia" w:hAnsi="宋体" w:eastAsia="宋体" w:cs="宋体"/>
                <w:sz w:val="21"/>
                <w:szCs w:val="21"/>
                <w:highlight w:val="none"/>
                <w:lang w:eastAsia="zh-CN"/>
              </w:rPr>
              <w:t>天</w:t>
            </w:r>
            <w:r>
              <w:rPr>
                <w:rFonts w:hint="eastAsia"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416" w:type="dxa"/>
            <w:tcBorders>
              <w:top w:val="single" w:color="auto" w:sz="4" w:space="0"/>
              <w:left w:val="single" w:color="auto" w:sz="4" w:space="0"/>
              <w:right w:val="single" w:color="auto" w:sz="4" w:space="0"/>
            </w:tcBorders>
            <w:noWrap/>
            <w:vAlign w:val="center"/>
          </w:tcPr>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*1.4</w:t>
            </w:r>
          </w:p>
        </w:tc>
        <w:tc>
          <w:tcPr>
            <w:tcW w:w="7938" w:type="dxa"/>
            <w:tcBorders>
              <w:top w:val="single" w:color="auto" w:sz="4" w:space="0"/>
              <w:left w:val="single" w:color="auto" w:sz="4" w:space="0"/>
              <w:right w:val="single" w:color="auto" w:sz="4" w:space="0"/>
            </w:tcBorders>
            <w:noWrap/>
            <w:vAlign w:val="center"/>
          </w:tcPr>
          <w:p>
            <w:pPr>
              <w:pStyle w:val="26"/>
              <w:spacing w:line="520" w:lineRule="exact"/>
              <w:jc w:val="left"/>
              <w:rPr>
                <w:rFonts w:hint="eastAsia" w:ascii="宋体" w:hAnsi="宋体" w:eastAsia="宋体" w:cs="宋体"/>
                <w:bCs/>
                <w:color w:val="000000"/>
                <w:sz w:val="21"/>
                <w:szCs w:val="21"/>
                <w:highlight w:val="none"/>
                <w:lang w:eastAsia="zh-CN"/>
              </w:rPr>
            </w:pPr>
            <w:r>
              <w:rPr>
                <w:rFonts w:hint="eastAsia" w:ascii="宋体" w:hAnsi="宋体" w:eastAsia="宋体" w:cs="宋体"/>
                <w:sz w:val="21"/>
                <w:szCs w:val="21"/>
                <w:highlight w:val="none"/>
              </w:rPr>
              <w:t>保修期内每年提供4次的设备预防性维护保养服务和PA电气检测报告，提供详细的设备预防性维护保养计划，根据计划在保修服务期内定期做预防性维护保养，并提供详细记录报告</w:t>
            </w:r>
            <w:r>
              <w:rPr>
                <w:rFonts w:hint="eastAsia"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2125" w:hRule="atLeast"/>
        </w:trPr>
        <w:tc>
          <w:tcPr>
            <w:tcW w:w="1416" w:type="dxa"/>
            <w:tcBorders>
              <w:top w:val="single" w:color="auto" w:sz="4" w:space="0"/>
              <w:left w:val="single" w:color="auto" w:sz="4" w:space="0"/>
              <w:bottom w:val="single" w:color="auto" w:sz="4" w:space="0"/>
              <w:right w:val="single" w:color="auto" w:sz="4" w:space="0"/>
            </w:tcBorders>
            <w:noWrap/>
            <w:vAlign w:val="center"/>
          </w:tcPr>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*1.5</w:t>
            </w:r>
          </w:p>
        </w:tc>
        <w:tc>
          <w:tcPr>
            <w:tcW w:w="7938" w:type="dxa"/>
            <w:tcBorders>
              <w:top w:val="single" w:color="auto" w:sz="4" w:space="0"/>
              <w:left w:val="single" w:color="auto" w:sz="4" w:space="0"/>
              <w:bottom w:val="single" w:color="auto" w:sz="4" w:space="0"/>
              <w:right w:val="single" w:color="auto" w:sz="4" w:space="0"/>
            </w:tcBorders>
            <w:noWrap/>
            <w:vAlign w:val="center"/>
          </w:tcPr>
          <w:p>
            <w:pPr>
              <w:pStyle w:val="26"/>
              <w:spacing w:line="520" w:lineRule="exact"/>
              <w:jc w:val="left"/>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rPr>
              <w:t>在合同签订期内，若中标公司所提供维修服务不能让医院方满意出现投诉情况的，按以下处理：投诉一次扣除合同款的10%，投诉两次的扣合同款的50%，累积投诉满三次的直接取消合同并按合同实际执行天数费用（中标价除以365）的一半结算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04" w:hRule="atLeast"/>
        </w:trPr>
        <w:tc>
          <w:tcPr>
            <w:tcW w:w="1416" w:type="dxa"/>
            <w:tcBorders>
              <w:top w:val="single" w:color="auto" w:sz="4" w:space="0"/>
              <w:left w:val="single" w:color="auto" w:sz="4" w:space="0"/>
              <w:bottom w:val="single" w:color="auto" w:sz="4" w:space="0"/>
              <w:right w:val="single" w:color="auto" w:sz="4" w:space="0"/>
            </w:tcBorders>
            <w:noWrap/>
            <w:vAlign w:val="center"/>
          </w:tcPr>
          <w:p>
            <w:pPr>
              <w:pStyle w:val="26"/>
              <w:spacing w:line="520" w:lineRule="exact"/>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*1.6</w:t>
            </w:r>
          </w:p>
        </w:tc>
        <w:tc>
          <w:tcPr>
            <w:tcW w:w="7938" w:type="dxa"/>
            <w:tcBorders>
              <w:top w:val="single" w:color="auto" w:sz="4" w:space="0"/>
              <w:left w:val="single" w:color="auto" w:sz="4" w:space="0"/>
              <w:bottom w:val="single" w:color="auto" w:sz="4" w:space="0"/>
              <w:right w:val="single" w:color="auto" w:sz="4" w:space="0"/>
            </w:tcBorders>
            <w:noWrap/>
            <w:vAlign w:val="center"/>
          </w:tcPr>
          <w:p>
            <w:pPr>
              <w:pStyle w:val="26"/>
              <w:spacing w:line="520" w:lineRule="exact"/>
              <w:jc w:val="left"/>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为确保维修服务响应的及时性和维修能力的品质，中标公司须配有公司的专职工程师，</w:t>
            </w:r>
            <w:r>
              <w:rPr>
                <w:rFonts w:hint="eastAsia" w:ascii="宋体" w:hAnsi="宋体" w:eastAsia="宋体" w:cs="宋体"/>
                <w:bCs/>
                <w:color w:val="000000"/>
                <w:sz w:val="21"/>
                <w:szCs w:val="21"/>
                <w:highlight w:val="none"/>
                <w:lang w:eastAsia="zh-CN"/>
              </w:rPr>
              <w:t>工程师提供相关证书，</w:t>
            </w:r>
            <w:r>
              <w:rPr>
                <w:rFonts w:hint="eastAsia" w:ascii="宋体" w:hAnsi="宋体" w:eastAsia="宋体" w:cs="宋体"/>
                <w:bCs/>
                <w:color w:val="000000"/>
                <w:sz w:val="21"/>
                <w:szCs w:val="21"/>
                <w:highlight w:val="none"/>
              </w:rPr>
              <w:t>不得将维修业务转保给其它公司或者个人，且提供承诺函</w:t>
            </w:r>
            <w:r>
              <w:rPr>
                <w:rFonts w:hint="eastAsia" w:hAnsi="宋体" w:eastAsia="宋体" w:cs="宋体"/>
                <w:bCs/>
                <w:color w:val="000000"/>
                <w:sz w:val="21"/>
                <w:szCs w:val="21"/>
                <w:highlight w:val="none"/>
                <w:lang w:eastAsia="zh-CN"/>
              </w:rPr>
              <w:t>。</w:t>
            </w:r>
          </w:p>
        </w:tc>
      </w:tr>
    </w:tbl>
    <w:p>
      <w:pPr>
        <w:widowControl/>
        <w:spacing w:line="360" w:lineRule="auto"/>
        <w:ind w:firstLine="440" w:firstLineChars="200"/>
        <w:jc w:val="left"/>
        <w:rPr>
          <w:rFonts w:hint="eastAsia" w:ascii="宋体" w:hAnsi="宋体" w:cs="宋体"/>
          <w:sz w:val="22"/>
          <w:highlight w:val="none"/>
          <w:lang w:eastAsia="zh-CN"/>
        </w:rPr>
      </w:pPr>
    </w:p>
    <w:p>
      <w:pPr>
        <w:widowControl/>
        <w:spacing w:line="360" w:lineRule="auto"/>
        <w:ind w:firstLine="440" w:firstLineChars="200"/>
        <w:jc w:val="left"/>
        <w:rPr>
          <w:rFonts w:hint="eastAsia" w:ascii="宋体" w:hAnsi="宋体" w:cs="宋体"/>
          <w:sz w:val="22"/>
          <w:highlight w:val="none"/>
          <w:lang w:eastAsia="zh-CN"/>
        </w:rPr>
      </w:pPr>
    </w:p>
    <w:p>
      <w:pPr>
        <w:rPr>
          <w:rFonts w:hint="eastAsia"/>
          <w:highlight w:val="none"/>
          <w:lang w:eastAsia="zh-CN"/>
        </w:rPr>
      </w:pPr>
      <w:r>
        <w:rPr>
          <w:rFonts w:hint="eastAsia" w:ascii="宋体" w:hAnsi="宋体" w:cs="宋体"/>
          <w:sz w:val="22"/>
          <w:highlight w:val="none"/>
          <w:lang w:eastAsia="zh-CN"/>
        </w:rPr>
        <w:br w:type="page"/>
      </w:r>
    </w:p>
    <w:p>
      <w:pPr>
        <w:widowControl/>
        <w:spacing w:line="36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二、彩超维保设备清单</w:t>
      </w:r>
    </w:p>
    <w:tbl>
      <w:tblPr>
        <w:tblStyle w:val="4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218"/>
        <w:gridCol w:w="1874"/>
        <w:gridCol w:w="1132"/>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5" w:type="dxa"/>
            <w:noWrap w:val="0"/>
            <w:vAlign w:val="top"/>
          </w:tcPr>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编号</w:t>
            </w:r>
          </w:p>
        </w:tc>
        <w:tc>
          <w:tcPr>
            <w:tcW w:w="3218"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设备名称</w:t>
            </w:r>
          </w:p>
        </w:tc>
        <w:tc>
          <w:tcPr>
            <w:tcW w:w="1874"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设备型号</w:t>
            </w:r>
          </w:p>
        </w:tc>
        <w:tc>
          <w:tcPr>
            <w:tcW w:w="1132" w:type="dxa"/>
            <w:noWrap w:val="0"/>
            <w:vAlign w:val="top"/>
          </w:tcPr>
          <w:p>
            <w:pPr>
              <w:widowControl/>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77"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5" w:type="dxa"/>
            <w:noWrap w:val="0"/>
            <w:vAlign w:val="top"/>
          </w:tcPr>
          <w:p>
            <w:pPr>
              <w:widowControl/>
              <w:spacing w:line="360" w:lineRule="auto"/>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3218" w:type="dxa"/>
            <w:noWrap w:val="0"/>
            <w:vAlign w:val="top"/>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彩色超声多普勒诊断仪</w:t>
            </w:r>
          </w:p>
        </w:tc>
        <w:tc>
          <w:tcPr>
            <w:tcW w:w="1874"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M2540A</w:t>
            </w:r>
          </w:p>
        </w:tc>
        <w:tc>
          <w:tcPr>
            <w:tcW w:w="1132"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777"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5" w:type="dxa"/>
            <w:noWrap w:val="0"/>
            <w:vAlign w:val="top"/>
          </w:tcPr>
          <w:p>
            <w:pPr>
              <w:widowControl/>
              <w:spacing w:line="360" w:lineRule="auto"/>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3218" w:type="dxa"/>
            <w:noWrap w:val="0"/>
            <w:vAlign w:val="top"/>
          </w:tcPr>
          <w:p>
            <w:pPr>
              <w:widowControl/>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彩色超声多普勒诊断仪</w:t>
            </w:r>
          </w:p>
        </w:tc>
        <w:tc>
          <w:tcPr>
            <w:tcW w:w="1874"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LOGIQ 7</w:t>
            </w:r>
          </w:p>
        </w:tc>
        <w:tc>
          <w:tcPr>
            <w:tcW w:w="1132"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777"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5" w:type="dxa"/>
            <w:noWrap w:val="0"/>
            <w:vAlign w:val="top"/>
          </w:tcPr>
          <w:p>
            <w:pPr>
              <w:widowControl/>
              <w:spacing w:line="360" w:lineRule="auto"/>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3218" w:type="dxa"/>
            <w:noWrap w:val="0"/>
            <w:vAlign w:val="top"/>
          </w:tcPr>
          <w:p>
            <w:pPr>
              <w:widowControl/>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彩色超声多普勒诊断仪</w:t>
            </w:r>
          </w:p>
        </w:tc>
        <w:tc>
          <w:tcPr>
            <w:tcW w:w="1874"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LOGIQ S7</w:t>
            </w:r>
          </w:p>
        </w:tc>
        <w:tc>
          <w:tcPr>
            <w:tcW w:w="1132"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777"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5" w:type="dxa"/>
            <w:noWrap w:val="0"/>
            <w:vAlign w:val="top"/>
          </w:tcPr>
          <w:p>
            <w:pPr>
              <w:widowControl/>
              <w:spacing w:line="360" w:lineRule="auto"/>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3218" w:type="dxa"/>
            <w:noWrap w:val="0"/>
            <w:vAlign w:val="top"/>
          </w:tcPr>
          <w:p>
            <w:pPr>
              <w:widowControl/>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彩色超声多普勒诊断仪</w:t>
            </w:r>
          </w:p>
        </w:tc>
        <w:tc>
          <w:tcPr>
            <w:tcW w:w="1874"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LOGIQ E8</w:t>
            </w:r>
          </w:p>
        </w:tc>
        <w:tc>
          <w:tcPr>
            <w:tcW w:w="1132"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777"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5" w:type="dxa"/>
            <w:noWrap w:val="0"/>
            <w:vAlign w:val="top"/>
          </w:tcPr>
          <w:p>
            <w:pPr>
              <w:widowControl/>
              <w:spacing w:line="360" w:lineRule="auto"/>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3218" w:type="dxa"/>
            <w:noWrap w:val="0"/>
            <w:vAlign w:val="top"/>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便携式彩色超声多普勒诊断仪</w:t>
            </w:r>
          </w:p>
        </w:tc>
        <w:tc>
          <w:tcPr>
            <w:tcW w:w="1874"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LOGIQ e</w:t>
            </w:r>
          </w:p>
        </w:tc>
        <w:tc>
          <w:tcPr>
            <w:tcW w:w="1132"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777" w:type="dxa"/>
            <w:noWrap w:val="0"/>
            <w:vAlign w:val="top"/>
          </w:tcPr>
          <w:p>
            <w:pPr>
              <w:widowControl/>
              <w:spacing w:line="360" w:lineRule="auto"/>
              <w:ind w:firstLine="420" w:firstLineChars="200"/>
              <w:jc w:val="left"/>
              <w:rPr>
                <w:rFonts w:hint="eastAsia" w:ascii="宋体" w:hAnsi="宋体" w:eastAsia="宋体" w:cs="宋体"/>
                <w:sz w:val="21"/>
                <w:szCs w:val="21"/>
                <w:highlight w:val="none"/>
                <w:lang w:val="en-US" w:eastAsia="zh-CN"/>
              </w:rPr>
            </w:pPr>
          </w:p>
        </w:tc>
      </w:tr>
    </w:tbl>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注：1、LOGIQ S7轨迹球、键盘膜、键盘主控板已坏；</w:t>
      </w:r>
    </w:p>
    <w:p>
      <w:pPr>
        <w:numPr>
          <w:ilvl w:val="0"/>
          <w:numId w:val="2"/>
        </w:numPr>
        <w:spacing w:line="360" w:lineRule="auto"/>
        <w:ind w:left="42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LOGIQ e电源适配器、轨迹球已坏；</w:t>
      </w:r>
    </w:p>
    <w:p>
      <w:pPr>
        <w:numPr>
          <w:ilvl w:val="0"/>
          <w:numId w:val="2"/>
        </w:numPr>
        <w:spacing w:line="360" w:lineRule="auto"/>
        <w:ind w:left="42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M2540A后端主板已坏：</w:t>
      </w:r>
    </w:p>
    <w:p>
      <w:pPr>
        <w:numPr>
          <w:ilvl w:val="0"/>
          <w:numId w:val="2"/>
        </w:numPr>
        <w:spacing w:line="360" w:lineRule="auto"/>
        <w:ind w:left="42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LOGIQ 7后端主板已坏；</w:t>
      </w:r>
    </w:p>
    <w:p>
      <w:pPr>
        <w:numPr>
          <w:ilvl w:val="0"/>
          <w:numId w:val="2"/>
        </w:numPr>
        <w:spacing w:line="360" w:lineRule="auto"/>
        <w:ind w:left="42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LOGIQ E8腹部探头图像衰减，更换声头；</w:t>
      </w:r>
    </w:p>
    <w:p>
      <w:pPr>
        <w:numPr>
          <w:ilvl w:val="0"/>
          <w:numId w:val="0"/>
        </w:numPr>
        <w:spacing w:line="360" w:lineRule="auto"/>
        <w:ind w:left="420" w:left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维保报价须包含以上全新配件</w:t>
      </w: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46"/>
        <w:rPr>
          <w:rFonts w:hint="eastAsia" w:ascii="宋体" w:hAnsi="宋体" w:eastAsia="宋体" w:cs="宋体"/>
          <w:sz w:val="22"/>
          <w:szCs w:val="22"/>
          <w:highlight w:val="none"/>
        </w:rPr>
      </w:pPr>
    </w:p>
    <w:p>
      <w:pPr>
        <w:pStyle w:val="15"/>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pStyle w:val="15"/>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pStyle w:val="15"/>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1"/>
        <w:spacing w:line="432" w:lineRule="auto"/>
        <w:ind w:firstLine="680" w:firstLineChars="200"/>
        <w:contextualSpacing/>
        <w:rPr>
          <w:sz w:val="34"/>
          <w:highlight w:val="none"/>
        </w:rPr>
      </w:pPr>
    </w:p>
    <w:p>
      <w:pPr>
        <w:pStyle w:val="21"/>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1"/>
        <w:spacing w:line="360" w:lineRule="auto"/>
        <w:ind w:firstLine="420" w:firstLineChars="200"/>
        <w:contextualSpacing/>
        <w:rPr>
          <w:highlight w:val="none"/>
        </w:rPr>
      </w:pPr>
      <w:r>
        <w:rPr>
          <w:rFonts w:hint="eastAsia"/>
          <w:highlight w:val="none"/>
        </w:rPr>
        <w:t>特此证明。</w:t>
      </w:r>
    </w:p>
    <w:p>
      <w:pPr>
        <w:pStyle w:val="21"/>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8"/>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1"/>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8"/>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1"/>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1"/>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8"/>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8"/>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8"/>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5"/>
        <w:spacing w:line="360" w:lineRule="auto"/>
        <w:ind w:firstLine="0"/>
        <w:jc w:val="left"/>
        <w:rPr>
          <w:rFonts w:cs="仿宋" w:asciiTheme="majorEastAsia" w:hAnsiTheme="majorEastAsia" w:eastAsiaTheme="majorEastAsia"/>
          <w:b/>
          <w:bCs/>
          <w:spacing w:val="15"/>
          <w:sz w:val="30"/>
          <w:szCs w:val="30"/>
          <w:highlight w:val="none"/>
        </w:rPr>
      </w:pPr>
    </w:p>
    <w:tbl>
      <w:tblPr>
        <w:tblStyle w:val="48"/>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8"/>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5"/>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5"/>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5"/>
        <w:ind w:firstLine="0"/>
        <w:jc w:val="center"/>
        <w:rPr>
          <w:rFonts w:ascii="宋体"/>
          <w:b/>
          <w:kern w:val="44"/>
          <w:sz w:val="24"/>
          <w:szCs w:val="24"/>
          <w:highlight w:val="none"/>
        </w:rPr>
      </w:pPr>
    </w:p>
    <w:p>
      <w:pPr>
        <w:pStyle w:val="15"/>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5"/>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5"/>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5"/>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5"/>
        <w:spacing w:line="360" w:lineRule="auto"/>
        <w:ind w:firstLine="480" w:firstLineChars="200"/>
        <w:rPr>
          <w:rFonts w:ascii="宋体"/>
          <w:kern w:val="44"/>
          <w:sz w:val="24"/>
          <w:szCs w:val="24"/>
          <w:highlight w:val="none"/>
        </w:rPr>
      </w:pPr>
    </w:p>
    <w:p>
      <w:pPr>
        <w:pStyle w:val="15"/>
        <w:spacing w:line="360" w:lineRule="auto"/>
        <w:ind w:right="480" w:firstLine="480" w:firstLineChars="200"/>
        <w:jc w:val="center"/>
        <w:rPr>
          <w:rFonts w:ascii="宋体"/>
          <w:kern w:val="44"/>
          <w:sz w:val="24"/>
          <w:szCs w:val="24"/>
          <w:highlight w:val="none"/>
        </w:rPr>
      </w:pPr>
    </w:p>
    <w:p>
      <w:pPr>
        <w:pStyle w:val="15"/>
        <w:spacing w:line="360" w:lineRule="auto"/>
        <w:ind w:right="480" w:firstLine="480" w:firstLineChars="200"/>
        <w:jc w:val="center"/>
        <w:rPr>
          <w:rFonts w:ascii="宋体"/>
          <w:kern w:val="44"/>
          <w:sz w:val="24"/>
          <w:szCs w:val="24"/>
          <w:highlight w:val="none"/>
        </w:rPr>
      </w:pPr>
    </w:p>
    <w:p>
      <w:pPr>
        <w:pStyle w:val="15"/>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5"/>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5"/>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5"/>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4"/>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9"/>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9"/>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9"/>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9"/>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9"/>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8"/>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dobe 仿宋 Std R">
    <w:altName w:val="仿宋"/>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0023A"/>
    <w:multiLevelType w:val="singleLevel"/>
    <w:tmpl w:val="18C0023A"/>
    <w:lvl w:ilvl="0" w:tentative="0">
      <w:start w:val="2"/>
      <w:numFmt w:val="decimal"/>
      <w:suff w:val="nothing"/>
      <w:lvlText w:val="%1、"/>
      <w:lvlJc w:val="left"/>
      <w:pPr>
        <w:ind w:left="420" w:firstLine="0"/>
      </w:pPr>
    </w:lvl>
  </w:abstractNum>
  <w:abstractNum w:abstractNumId="1">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2C622CE"/>
    <w:rsid w:val="03A964DC"/>
    <w:rsid w:val="03AD764F"/>
    <w:rsid w:val="04F80D9E"/>
    <w:rsid w:val="04FE4606"/>
    <w:rsid w:val="069A5C9E"/>
    <w:rsid w:val="06AC1E40"/>
    <w:rsid w:val="06B807E5"/>
    <w:rsid w:val="0750482F"/>
    <w:rsid w:val="078B414B"/>
    <w:rsid w:val="080D4B60"/>
    <w:rsid w:val="0814012D"/>
    <w:rsid w:val="082C70A5"/>
    <w:rsid w:val="08D86F1C"/>
    <w:rsid w:val="094E3039"/>
    <w:rsid w:val="095764B1"/>
    <w:rsid w:val="095B7274"/>
    <w:rsid w:val="09C63218"/>
    <w:rsid w:val="09D0206C"/>
    <w:rsid w:val="09DA6CC4"/>
    <w:rsid w:val="0A7024DB"/>
    <w:rsid w:val="0B263E44"/>
    <w:rsid w:val="0B6F290B"/>
    <w:rsid w:val="0C2051B1"/>
    <w:rsid w:val="0C684A5B"/>
    <w:rsid w:val="0D3336BE"/>
    <w:rsid w:val="0D900E49"/>
    <w:rsid w:val="0DDA308D"/>
    <w:rsid w:val="0DE94D00"/>
    <w:rsid w:val="0E222820"/>
    <w:rsid w:val="0E24763A"/>
    <w:rsid w:val="0EC56037"/>
    <w:rsid w:val="0ED939EE"/>
    <w:rsid w:val="0F3A26DF"/>
    <w:rsid w:val="0FF54858"/>
    <w:rsid w:val="10525806"/>
    <w:rsid w:val="107E484D"/>
    <w:rsid w:val="10AA08EC"/>
    <w:rsid w:val="11E20E0C"/>
    <w:rsid w:val="120F4BA8"/>
    <w:rsid w:val="12502219"/>
    <w:rsid w:val="12624687"/>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ABA2925"/>
    <w:rsid w:val="1AC35C7E"/>
    <w:rsid w:val="1B43291B"/>
    <w:rsid w:val="1B506DE6"/>
    <w:rsid w:val="1B7A3E63"/>
    <w:rsid w:val="1B9C0B03"/>
    <w:rsid w:val="1BF14125"/>
    <w:rsid w:val="1BF260EF"/>
    <w:rsid w:val="1C133BCE"/>
    <w:rsid w:val="1C975504"/>
    <w:rsid w:val="1D2A0508"/>
    <w:rsid w:val="1D4A4435"/>
    <w:rsid w:val="1D7F67FE"/>
    <w:rsid w:val="1DF93765"/>
    <w:rsid w:val="1E1C7453"/>
    <w:rsid w:val="1E94348E"/>
    <w:rsid w:val="1EC975DB"/>
    <w:rsid w:val="1F3666B5"/>
    <w:rsid w:val="1FAB4F33"/>
    <w:rsid w:val="20855784"/>
    <w:rsid w:val="20B63B8F"/>
    <w:rsid w:val="215D4CC1"/>
    <w:rsid w:val="219519F6"/>
    <w:rsid w:val="226C65C6"/>
    <w:rsid w:val="226F2247"/>
    <w:rsid w:val="22E04EF3"/>
    <w:rsid w:val="232B0864"/>
    <w:rsid w:val="23356FED"/>
    <w:rsid w:val="246A0F18"/>
    <w:rsid w:val="2566706B"/>
    <w:rsid w:val="26562AC8"/>
    <w:rsid w:val="26F53772"/>
    <w:rsid w:val="276854B7"/>
    <w:rsid w:val="278A3680"/>
    <w:rsid w:val="279D33B3"/>
    <w:rsid w:val="27FA25B3"/>
    <w:rsid w:val="281D2DAB"/>
    <w:rsid w:val="284F637D"/>
    <w:rsid w:val="29675768"/>
    <w:rsid w:val="2B312790"/>
    <w:rsid w:val="2D3C65BD"/>
    <w:rsid w:val="2E0D016A"/>
    <w:rsid w:val="2E555FE9"/>
    <w:rsid w:val="2E5F7614"/>
    <w:rsid w:val="2E9B7447"/>
    <w:rsid w:val="2F2309F5"/>
    <w:rsid w:val="2F6B1FE9"/>
    <w:rsid w:val="2F9F3433"/>
    <w:rsid w:val="303B7C0D"/>
    <w:rsid w:val="31164F5F"/>
    <w:rsid w:val="31440D43"/>
    <w:rsid w:val="31C57111"/>
    <w:rsid w:val="31D14A2C"/>
    <w:rsid w:val="322D4DA0"/>
    <w:rsid w:val="332C1A8F"/>
    <w:rsid w:val="33A07D76"/>
    <w:rsid w:val="342235BE"/>
    <w:rsid w:val="34BB2350"/>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13761CE"/>
    <w:rsid w:val="41804EAA"/>
    <w:rsid w:val="41EA3241"/>
    <w:rsid w:val="42014351"/>
    <w:rsid w:val="42A46FA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576982"/>
    <w:rsid w:val="4BFE0FCF"/>
    <w:rsid w:val="4C06511B"/>
    <w:rsid w:val="4CB93F3C"/>
    <w:rsid w:val="4D292997"/>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495194"/>
    <w:rsid w:val="5CAD6653"/>
    <w:rsid w:val="5F27754A"/>
    <w:rsid w:val="5F2C67EF"/>
    <w:rsid w:val="5F63077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8DB55C0"/>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5">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10">
    <w:name w:val="heading 7"/>
    <w:basedOn w:val="7"/>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1">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2">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styleId="3">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3">
    <w:name w:val="toc 7"/>
    <w:basedOn w:val="1"/>
    <w:next w:val="1"/>
    <w:autoRedefine/>
    <w:qFormat/>
    <w:uiPriority w:val="39"/>
    <w:pPr>
      <w:ind w:left="1260"/>
      <w:jc w:val="left"/>
    </w:pPr>
    <w:rPr>
      <w:rFonts w:ascii="Times New Roman" w:hAnsi="Times New Roman" w:eastAsia="宋体" w:cs="Times New Roman"/>
      <w:szCs w:val="20"/>
    </w:rPr>
  </w:style>
  <w:style w:type="paragraph" w:styleId="14">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5">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6">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7">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8">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9">
    <w:name w:val="annotation text"/>
    <w:basedOn w:val="1"/>
    <w:link w:val="136"/>
    <w:autoRedefine/>
    <w:semiHidden/>
    <w:unhideWhenUsed/>
    <w:qFormat/>
    <w:uiPriority w:val="99"/>
    <w:pPr>
      <w:jc w:val="left"/>
    </w:pPr>
  </w:style>
  <w:style w:type="paragraph" w:styleId="20">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1">
    <w:name w:val="Body Text"/>
    <w:basedOn w:val="1"/>
    <w:link w:val="67"/>
    <w:unhideWhenUsed/>
    <w:qFormat/>
    <w:uiPriority w:val="99"/>
    <w:pPr>
      <w:spacing w:after="120"/>
    </w:pPr>
  </w:style>
  <w:style w:type="paragraph" w:styleId="22">
    <w:name w:val="Body Text Indent"/>
    <w:basedOn w:val="1"/>
    <w:link w:val="124"/>
    <w:autoRedefine/>
    <w:unhideWhenUsed/>
    <w:qFormat/>
    <w:uiPriority w:val="0"/>
    <w:pPr>
      <w:spacing w:after="120"/>
      <w:ind w:left="420" w:leftChars="200"/>
    </w:pPr>
  </w:style>
  <w:style w:type="paragraph" w:styleId="23">
    <w:name w:val="List Bullet 2"/>
    <w:basedOn w:val="17"/>
    <w:autoRedefine/>
    <w:qFormat/>
    <w:uiPriority w:val="0"/>
    <w:pPr>
      <w:ind w:left="851" w:hanging="284"/>
    </w:pPr>
  </w:style>
  <w:style w:type="paragraph" w:styleId="24">
    <w:name w:val="toc 5"/>
    <w:basedOn w:val="1"/>
    <w:next w:val="1"/>
    <w:autoRedefine/>
    <w:qFormat/>
    <w:uiPriority w:val="39"/>
    <w:pPr>
      <w:ind w:left="840"/>
      <w:jc w:val="left"/>
    </w:pPr>
    <w:rPr>
      <w:rFonts w:ascii="Times New Roman" w:hAnsi="Times New Roman" w:eastAsia="宋体" w:cs="Times New Roman"/>
      <w:szCs w:val="20"/>
    </w:rPr>
  </w:style>
  <w:style w:type="paragraph" w:styleId="25">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6">
    <w:name w:val="Plain Text"/>
    <w:basedOn w:val="1"/>
    <w:link w:val="73"/>
    <w:autoRedefine/>
    <w:qFormat/>
    <w:uiPriority w:val="0"/>
    <w:rPr>
      <w:rFonts w:ascii="宋体" w:hAnsi="Courier New"/>
      <w:sz w:val="28"/>
      <w:szCs w:val="28"/>
    </w:rPr>
  </w:style>
  <w:style w:type="paragraph" w:styleId="27">
    <w:name w:val="toc 8"/>
    <w:basedOn w:val="1"/>
    <w:next w:val="1"/>
    <w:qFormat/>
    <w:uiPriority w:val="39"/>
    <w:pPr>
      <w:ind w:left="1470"/>
      <w:jc w:val="left"/>
    </w:pPr>
    <w:rPr>
      <w:rFonts w:ascii="Times New Roman" w:hAnsi="Times New Roman" w:eastAsia="宋体" w:cs="Times New Roman"/>
      <w:szCs w:val="20"/>
    </w:rPr>
  </w:style>
  <w:style w:type="paragraph" w:styleId="28">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9">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30">
    <w:name w:val="Balloon Text"/>
    <w:basedOn w:val="1"/>
    <w:link w:val="70"/>
    <w:autoRedefine/>
    <w:semiHidden/>
    <w:unhideWhenUsed/>
    <w:qFormat/>
    <w:uiPriority w:val="99"/>
    <w:rPr>
      <w:sz w:val="18"/>
      <w:szCs w:val="18"/>
    </w:rPr>
  </w:style>
  <w:style w:type="paragraph" w:styleId="31">
    <w:name w:val="footer"/>
    <w:basedOn w:val="1"/>
    <w:link w:val="59"/>
    <w:autoRedefine/>
    <w:unhideWhenUsed/>
    <w:qFormat/>
    <w:uiPriority w:val="99"/>
    <w:pPr>
      <w:tabs>
        <w:tab w:val="center" w:pos="4153"/>
        <w:tab w:val="right" w:pos="8306"/>
      </w:tabs>
      <w:snapToGrid w:val="0"/>
      <w:jc w:val="left"/>
    </w:pPr>
    <w:rPr>
      <w:sz w:val="18"/>
      <w:szCs w:val="18"/>
    </w:rPr>
  </w:style>
  <w:style w:type="paragraph" w:styleId="3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4">
    <w:name w:val="toc 4"/>
    <w:basedOn w:val="1"/>
    <w:next w:val="1"/>
    <w:autoRedefine/>
    <w:qFormat/>
    <w:uiPriority w:val="39"/>
    <w:pPr>
      <w:ind w:left="630"/>
      <w:jc w:val="left"/>
    </w:pPr>
    <w:rPr>
      <w:rFonts w:ascii="Times New Roman" w:hAnsi="Times New Roman" w:eastAsia="宋体" w:cs="Times New Roman"/>
      <w:szCs w:val="20"/>
    </w:rPr>
  </w:style>
  <w:style w:type="paragraph" w:styleId="35">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6">
    <w:name w:val="footnote text"/>
    <w:basedOn w:val="1"/>
    <w:link w:val="132"/>
    <w:autoRedefine/>
    <w:semiHidden/>
    <w:qFormat/>
    <w:uiPriority w:val="0"/>
    <w:pPr>
      <w:snapToGrid w:val="0"/>
      <w:jc w:val="left"/>
    </w:pPr>
    <w:rPr>
      <w:rFonts w:eastAsia="宋体"/>
      <w:kern w:val="0"/>
      <w:sz w:val="18"/>
      <w:szCs w:val="18"/>
    </w:rPr>
  </w:style>
  <w:style w:type="paragraph" w:styleId="37">
    <w:name w:val="toc 6"/>
    <w:basedOn w:val="1"/>
    <w:next w:val="1"/>
    <w:autoRedefine/>
    <w:qFormat/>
    <w:uiPriority w:val="39"/>
    <w:pPr>
      <w:ind w:left="1050"/>
      <w:jc w:val="left"/>
    </w:pPr>
    <w:rPr>
      <w:rFonts w:ascii="Times New Roman" w:hAnsi="Times New Roman" w:eastAsia="宋体" w:cs="Times New Roman"/>
      <w:szCs w:val="20"/>
    </w:rPr>
  </w:style>
  <w:style w:type="paragraph" w:styleId="38">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9">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40">
    <w:name w:val="toc 9"/>
    <w:basedOn w:val="1"/>
    <w:next w:val="1"/>
    <w:autoRedefine/>
    <w:qFormat/>
    <w:uiPriority w:val="39"/>
    <w:pPr>
      <w:ind w:left="1680"/>
      <w:jc w:val="left"/>
    </w:pPr>
    <w:rPr>
      <w:rFonts w:ascii="Times New Roman" w:hAnsi="Times New Roman" w:eastAsia="宋体" w:cs="Times New Roman"/>
      <w:szCs w:val="20"/>
    </w:rPr>
  </w:style>
  <w:style w:type="paragraph" w:styleId="41">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2">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4">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5">
    <w:name w:val="annotation subject"/>
    <w:basedOn w:val="19"/>
    <w:next w:val="19"/>
    <w:link w:val="137"/>
    <w:autoRedefine/>
    <w:semiHidden/>
    <w:qFormat/>
    <w:uiPriority w:val="99"/>
    <w:rPr>
      <w:rFonts w:ascii="Times New Roman" w:hAnsi="Times New Roman" w:eastAsia="宋体" w:cs="Times New Roman"/>
      <w:b/>
      <w:bCs/>
      <w:szCs w:val="20"/>
    </w:rPr>
  </w:style>
  <w:style w:type="paragraph" w:styleId="46">
    <w:name w:val="Body Text First Indent"/>
    <w:basedOn w:val="21"/>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7">
    <w:name w:val="Body Text First Indent 2"/>
    <w:basedOn w:val="22"/>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9">
    <w:name w:val="Table Grid"/>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endnote reference"/>
    <w:autoRedefine/>
    <w:qFormat/>
    <w:uiPriority w:val="0"/>
    <w:rPr>
      <w:vertAlign w:val="superscript"/>
    </w:rPr>
  </w:style>
  <w:style w:type="character" w:styleId="53">
    <w:name w:val="page number"/>
    <w:basedOn w:val="50"/>
    <w:autoRedefine/>
    <w:qFormat/>
    <w:uiPriority w:val="0"/>
  </w:style>
  <w:style w:type="character" w:styleId="54">
    <w:name w:val="FollowedHyperlink"/>
    <w:basedOn w:val="50"/>
    <w:autoRedefine/>
    <w:semiHidden/>
    <w:unhideWhenUsed/>
    <w:qFormat/>
    <w:uiPriority w:val="99"/>
    <w:rPr>
      <w:color w:val="954F72"/>
      <w:u w:val="single"/>
    </w:rPr>
  </w:style>
  <w:style w:type="character" w:styleId="55">
    <w:name w:val="Hyperlink"/>
    <w:basedOn w:val="50"/>
    <w:autoRedefine/>
    <w:unhideWhenUsed/>
    <w:qFormat/>
    <w:uiPriority w:val="99"/>
    <w:rPr>
      <w:color w:val="222222"/>
      <w:u w:val="none"/>
    </w:rPr>
  </w:style>
  <w:style w:type="character" w:styleId="56">
    <w:name w:val="annotation reference"/>
    <w:autoRedefine/>
    <w:semiHidden/>
    <w:qFormat/>
    <w:uiPriority w:val="99"/>
    <w:rPr>
      <w:sz w:val="21"/>
      <w:szCs w:val="21"/>
    </w:rPr>
  </w:style>
  <w:style w:type="character" w:styleId="57">
    <w:name w:val="footnote reference"/>
    <w:autoRedefine/>
    <w:semiHidden/>
    <w:qFormat/>
    <w:uiPriority w:val="0"/>
    <w:rPr>
      <w:vertAlign w:val="superscript"/>
    </w:rPr>
  </w:style>
  <w:style w:type="character" w:customStyle="1" w:styleId="58">
    <w:name w:val="页眉 Char"/>
    <w:basedOn w:val="50"/>
    <w:link w:val="32"/>
    <w:autoRedefine/>
    <w:qFormat/>
    <w:uiPriority w:val="99"/>
    <w:rPr>
      <w:sz w:val="18"/>
      <w:szCs w:val="18"/>
    </w:rPr>
  </w:style>
  <w:style w:type="character" w:customStyle="1" w:styleId="59">
    <w:name w:val="页脚 Char"/>
    <w:basedOn w:val="50"/>
    <w:link w:val="31"/>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6"/>
    <w:autoRedefine/>
    <w:qFormat/>
    <w:uiPriority w:val="0"/>
    <w:pPr>
      <w:spacing w:line="0" w:lineRule="atLeast"/>
      <w:outlineLvl w:val="0"/>
    </w:pPr>
    <w:rPr>
      <w:rFonts w:eastAsia="宋体" w:cs="Times New Roman"/>
      <w:szCs w:val="20"/>
    </w:rPr>
  </w:style>
  <w:style w:type="character" w:customStyle="1" w:styleId="65">
    <w:name w:val="标题 1 Char"/>
    <w:basedOn w:val="50"/>
    <w:link w:val="4"/>
    <w:autoRedefine/>
    <w:qFormat/>
    <w:uiPriority w:val="0"/>
    <w:rPr>
      <w:rFonts w:ascii="宋体" w:hAnsi="宋体" w:cstheme="minorBidi"/>
      <w:b/>
      <w:bCs/>
      <w:sz w:val="32"/>
      <w:szCs w:val="32"/>
      <w:lang w:eastAsia="en-US"/>
    </w:rPr>
  </w:style>
  <w:style w:type="character" w:customStyle="1" w:styleId="66">
    <w:name w:val="正文文本缩进 2 Char"/>
    <w:basedOn w:val="50"/>
    <w:link w:val="29"/>
    <w:autoRedefine/>
    <w:qFormat/>
    <w:uiPriority w:val="0"/>
    <w:rPr>
      <w:rFonts w:ascii="Calibri" w:hAnsi="Calibri"/>
      <w:kern w:val="2"/>
      <w:sz w:val="21"/>
      <w:szCs w:val="22"/>
    </w:rPr>
  </w:style>
  <w:style w:type="character" w:customStyle="1" w:styleId="67">
    <w:name w:val="正文文本 Char"/>
    <w:basedOn w:val="50"/>
    <w:link w:val="21"/>
    <w:autoRedefine/>
    <w:qFormat/>
    <w:uiPriority w:val="99"/>
    <w:rPr>
      <w:kern w:val="2"/>
      <w:sz w:val="21"/>
      <w:szCs w:val="22"/>
    </w:rPr>
  </w:style>
  <w:style w:type="character" w:customStyle="1" w:styleId="68">
    <w:name w:val="日期 Char"/>
    <w:basedOn w:val="50"/>
    <w:link w:val="28"/>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50"/>
    <w:link w:val="30"/>
    <w:autoRedefine/>
    <w:semiHidden/>
    <w:qFormat/>
    <w:uiPriority w:val="99"/>
    <w:rPr>
      <w:kern w:val="2"/>
      <w:sz w:val="18"/>
      <w:szCs w:val="18"/>
    </w:rPr>
  </w:style>
  <w:style w:type="character" w:customStyle="1" w:styleId="71">
    <w:name w:val="页脚 Char1"/>
    <w:basedOn w:val="50"/>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6"/>
    <w:qFormat/>
    <w:uiPriority w:val="0"/>
    <w:rPr>
      <w:rFonts w:ascii="宋体" w:hAnsi="Courier New"/>
      <w:kern w:val="2"/>
      <w:sz w:val="28"/>
      <w:szCs w:val="28"/>
    </w:rPr>
  </w:style>
  <w:style w:type="character" w:customStyle="1" w:styleId="74">
    <w:name w:val="标题 2 Char"/>
    <w:basedOn w:val="50"/>
    <w:link w:val="5"/>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50"/>
    <w:link w:val="6"/>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50"/>
    <w:link w:val="7"/>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50"/>
    <w:link w:val="8"/>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50"/>
    <w:link w:val="78"/>
    <w:autoRedefine/>
    <w:qFormat/>
    <w:uiPriority w:val="0"/>
    <w:rPr>
      <w:rFonts w:ascii="Calibri" w:hAnsi="Calibri" w:eastAsia="华文楷体"/>
      <w:kern w:val="2"/>
      <w:sz w:val="24"/>
      <w:szCs w:val="22"/>
    </w:rPr>
  </w:style>
  <w:style w:type="character" w:customStyle="1" w:styleId="80">
    <w:name w:val="fontstyle01"/>
    <w:basedOn w:val="50"/>
    <w:autoRedefine/>
    <w:qFormat/>
    <w:uiPriority w:val="0"/>
    <w:rPr>
      <w:rFonts w:hint="eastAsia" w:ascii="华文新魏" w:eastAsia="华文新魏"/>
      <w:color w:val="000000"/>
      <w:sz w:val="32"/>
      <w:szCs w:val="32"/>
    </w:rPr>
  </w:style>
  <w:style w:type="character" w:customStyle="1" w:styleId="81">
    <w:name w:val="fontstyle21"/>
    <w:basedOn w:val="50"/>
    <w:autoRedefine/>
    <w:qFormat/>
    <w:uiPriority w:val="0"/>
    <w:rPr>
      <w:rFonts w:hint="default" w:ascii="Times New Roman" w:hAnsi="Times New Roman" w:cs="Times New Roman"/>
      <w:color w:val="000000"/>
      <w:sz w:val="22"/>
      <w:szCs w:val="22"/>
    </w:rPr>
  </w:style>
  <w:style w:type="character" w:customStyle="1" w:styleId="82">
    <w:name w:val="fontstyle11"/>
    <w:basedOn w:val="50"/>
    <w:autoRedefine/>
    <w:qFormat/>
    <w:uiPriority w:val="0"/>
    <w:rPr>
      <w:rFonts w:hint="default" w:ascii="Times New Roman" w:hAnsi="Times New Roman" w:cs="Times New Roman"/>
      <w:color w:val="000000"/>
      <w:sz w:val="22"/>
      <w:szCs w:val="22"/>
    </w:rPr>
  </w:style>
  <w:style w:type="character" w:customStyle="1" w:styleId="83">
    <w:name w:val="fontstyle41"/>
    <w:basedOn w:val="50"/>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50"/>
    <w:autoRedefine/>
    <w:qFormat/>
    <w:uiPriority w:val="9"/>
    <w:rPr>
      <w:b/>
      <w:bCs/>
      <w:kern w:val="44"/>
      <w:sz w:val="44"/>
      <w:szCs w:val="44"/>
    </w:rPr>
  </w:style>
  <w:style w:type="character" w:customStyle="1" w:styleId="86">
    <w:name w:val="apple-converted-space"/>
    <w:basedOn w:val="50"/>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50"/>
    <w:link w:val="9"/>
    <w:autoRedefine/>
    <w:qFormat/>
    <w:uiPriority w:val="9"/>
    <w:rPr>
      <w:rFonts w:ascii="Tahoma" w:hAnsi="Tahoma" w:eastAsia="宋体" w:cs="Times New Roman"/>
      <w:i/>
      <w:sz w:val="21"/>
      <w:lang w:val="en-GB" w:eastAsia="fr-FR"/>
    </w:rPr>
  </w:style>
  <w:style w:type="character" w:customStyle="1" w:styleId="103">
    <w:name w:val="标题 7 Char"/>
    <w:basedOn w:val="50"/>
    <w:link w:val="10"/>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50"/>
    <w:link w:val="11"/>
    <w:autoRedefine/>
    <w:qFormat/>
    <w:uiPriority w:val="9"/>
    <w:rPr>
      <w:rFonts w:ascii="Tahoma" w:hAnsi="Tahoma" w:eastAsia="宋体" w:cs="Times New Roman"/>
      <w:i/>
      <w:lang w:val="en-GB" w:eastAsia="fr-FR"/>
    </w:rPr>
  </w:style>
  <w:style w:type="character" w:customStyle="1" w:styleId="105">
    <w:name w:val="标题 9 Char"/>
    <w:basedOn w:val="50"/>
    <w:link w:val="12"/>
    <w:autoRedefine/>
    <w:qFormat/>
    <w:uiPriority w:val="9"/>
    <w:rPr>
      <w:rFonts w:ascii="Tahoma" w:hAnsi="Tahoma" w:eastAsia="宋体" w:cs="Times New Roman"/>
      <w:i/>
      <w:sz w:val="18"/>
      <w:lang w:val="en-GB" w:eastAsia="fr-FR"/>
    </w:rPr>
  </w:style>
  <w:style w:type="character" w:customStyle="1" w:styleId="106">
    <w:name w:val="正文文本 Char1"/>
    <w:basedOn w:val="50"/>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3"/>
    <w:autoRedefine/>
    <w:qFormat/>
    <w:uiPriority w:val="0"/>
    <w:rPr>
      <w:rFonts w:ascii="Tahoma" w:hAnsi="Tahoma"/>
      <w:sz w:val="16"/>
      <w:lang w:val="en-GB" w:eastAsia="fr-FR"/>
    </w:rPr>
  </w:style>
  <w:style w:type="character" w:customStyle="1" w:styleId="113">
    <w:name w:val="宏文本 Char1"/>
    <w:basedOn w:val="50"/>
    <w:link w:val="3"/>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7"/>
    <w:autoRedefine/>
    <w:qFormat/>
    <w:uiPriority w:val="0"/>
  </w:style>
  <w:style w:type="character" w:customStyle="1" w:styleId="124">
    <w:name w:val="正文文本缩进 Char1"/>
    <w:basedOn w:val="50"/>
    <w:link w:val="22"/>
    <w:autoRedefine/>
    <w:semiHidden/>
    <w:qFormat/>
    <w:uiPriority w:val="99"/>
    <w:rPr>
      <w:kern w:val="2"/>
      <w:sz w:val="21"/>
      <w:szCs w:val="22"/>
    </w:rPr>
  </w:style>
  <w:style w:type="character" w:customStyle="1" w:styleId="125">
    <w:name w:val="正文首行缩进 2 Char1"/>
    <w:basedOn w:val="124"/>
    <w:link w:val="47"/>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6"/>
    <w:autoRedefine/>
    <w:semiHidden/>
    <w:qFormat/>
    <w:uiPriority w:val="0"/>
    <w:rPr>
      <w:rFonts w:eastAsia="宋体"/>
      <w:sz w:val="18"/>
      <w:szCs w:val="18"/>
    </w:rPr>
  </w:style>
  <w:style w:type="character" w:customStyle="1" w:styleId="132">
    <w:name w:val="脚注文本 Char1"/>
    <w:basedOn w:val="50"/>
    <w:link w:val="36"/>
    <w:autoRedefine/>
    <w:semiHidden/>
    <w:qFormat/>
    <w:uiPriority w:val="99"/>
    <w:rPr>
      <w:kern w:val="2"/>
      <w:sz w:val="18"/>
      <w:szCs w:val="18"/>
    </w:rPr>
  </w:style>
  <w:style w:type="character" w:customStyle="1" w:styleId="133">
    <w:name w:val="正文首行缩进 Char"/>
    <w:basedOn w:val="106"/>
    <w:link w:val="46"/>
    <w:autoRedefine/>
    <w:qFormat/>
    <w:uiPriority w:val="0"/>
  </w:style>
  <w:style w:type="character" w:customStyle="1" w:styleId="134">
    <w:name w:val="正文首行缩进 Char1"/>
    <w:basedOn w:val="67"/>
    <w:link w:val="46"/>
    <w:autoRedefine/>
    <w:semiHidden/>
    <w:qFormat/>
    <w:uiPriority w:val="99"/>
  </w:style>
  <w:style w:type="character" w:customStyle="1" w:styleId="135">
    <w:name w:val="正文文本缩进 3 Char"/>
    <w:basedOn w:val="50"/>
    <w:link w:val="38"/>
    <w:autoRedefine/>
    <w:qFormat/>
    <w:uiPriority w:val="0"/>
    <w:rPr>
      <w:rFonts w:ascii="宋体" w:hAnsi="Times New Roman" w:eastAsia="宋体" w:cs="Times New Roman"/>
      <w:kern w:val="2"/>
      <w:sz w:val="24"/>
    </w:rPr>
  </w:style>
  <w:style w:type="character" w:customStyle="1" w:styleId="136">
    <w:name w:val="批注文字 Char"/>
    <w:basedOn w:val="50"/>
    <w:link w:val="19"/>
    <w:autoRedefine/>
    <w:semiHidden/>
    <w:qFormat/>
    <w:uiPriority w:val="99"/>
    <w:rPr>
      <w:kern w:val="2"/>
      <w:sz w:val="21"/>
      <w:szCs w:val="22"/>
    </w:rPr>
  </w:style>
  <w:style w:type="character" w:customStyle="1" w:styleId="137">
    <w:name w:val="批注主题 Char"/>
    <w:basedOn w:val="136"/>
    <w:link w:val="45"/>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50"/>
    <w:link w:val="18"/>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4"/>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8"/>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8"/>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50"/>
    <w:link w:val="44"/>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4"/>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50"/>
    <w:link w:val="41"/>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8"/>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5318</Words>
  <Characters>5675</Characters>
  <Lines>48</Lines>
  <Paragraphs>13</Paragraphs>
  <TotalTime>3</TotalTime>
  <ScaleCrop>false</ScaleCrop>
  <LinksUpToDate>false</LinksUpToDate>
  <CharactersWithSpaces>6138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2024-06-04T01:11:53Z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FA934C07A6A1402090C04627780C5CBD_13</vt:lpwstr>
  </property>
</Properties>
</file>